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F01" w:rsidRDefault="00FF0F01" w:rsidP="00FF0F01">
      <w:pPr>
        <w:keepNext/>
        <w:spacing w:before="240" w:after="60"/>
        <w:jc w:val="center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COMUNICATO STAMPA</w:t>
      </w:r>
    </w:p>
    <w:p w:rsidR="00FF0F01" w:rsidRDefault="00FF0F01" w:rsidP="00FF0F01">
      <w:pPr>
        <w:keepNext/>
        <w:spacing w:before="240" w:after="60"/>
        <w:jc w:val="center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CRISI: LA RECESSIONE ECONOMICA E’ CONFERMATA ANCHE DAI BASSI REDDITI, CHE DIVORATI DA FISCALITA’,CRESCONO MENO DI FRANCIA, GERMANIA,SPAGNA,INGHILTERRA. CALATO PIL, PREZZI AL CONSUMO, INFLAZIONE (-02%) RICCHEZZA FAMIGLIE (-1,7%),AUMENTA +4% DEBITO PUBBLICO.</w:t>
      </w:r>
    </w:p>
    <w:p w:rsidR="00FF0F01" w:rsidRDefault="00FF0F01" w:rsidP="00FF0F01">
      <w:pPr>
        <w:keepNext/>
        <w:spacing w:before="240" w:after="60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 xml:space="preserve">   Dopo la diminuzione nel 2013 del valore della ricchezza netta delle famiglie (-1,7 per cento pari a 8.728 miliardi di euro, corrispondenti in media a 144.000 euro pro capite e a 356.000 euro per famiglia), analoga riduzione è prevista per il 2014, per la modesta crescita del </w:t>
      </w:r>
      <w:proofErr w:type="spellStart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Pil</w:t>
      </w:r>
      <w:proofErr w:type="spellEnd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 xml:space="preserve"> (+ 0,4% che non recupera la flessione dello 0,4% del 2014), l’inflazione negativa (-0,2%) per la discesa delle quotazioni del petrolio concausa della recessione, il calo dei prezzi al consumo di un -0,2%, l’aumento del debito pubblico di un + 4% rispetto al 2013,che dovrebbe attestarsi a circa 2.170 miliardi di euro a fine 2014. L’unica nota positiva il calo degli spread, che potrebbero far risparmiare per i titoli di debito pubblico, pari a 298 miliardi in scadenza nel 2015, da 5,4,a 6,7 miliardi (a seconda dei tassi applicati in fase emissione da – 1% a – 1,9%)  per la spesa interessi.</w:t>
      </w:r>
    </w:p>
    <w:p w:rsidR="00FF0F01" w:rsidRDefault="009C1449" w:rsidP="00FF0F01">
      <w:pPr>
        <w:keepNext/>
        <w:spacing w:before="240" w:after="60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 xml:space="preserve"> Negli anni della crisi, </w:t>
      </w:r>
      <w:bookmarkStart w:id="0" w:name="_GoBack"/>
      <w:bookmarkEnd w:id="0"/>
      <w:r w:rsidR="00FF0F01"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il nostro settore produttivo non è stato assolutamente sostenuto da una domanda interna in grado di alimentarne adeguati livelli di produzione. Di tale supporto interno hanno potuto godere altri paesi UE come Germania, Francia, Regno Unito e anche Spagna. Riteniamo di aver individuato le motivazioni di questi andamenti da alcuni dati statistici forniti da </w:t>
      </w:r>
      <w:proofErr w:type="spellStart"/>
      <w:r w:rsidR="00FF0F01"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Eurostat</w:t>
      </w:r>
      <w:proofErr w:type="spellEnd"/>
      <w:r w:rsidR="00FF0F01"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. La </w:t>
      </w:r>
      <w:proofErr w:type="spellStart"/>
      <w:r w:rsidR="00FF0F01"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Tab</w:t>
      </w:r>
      <w:proofErr w:type="spellEnd"/>
      <w:r w:rsidR="00FF0F01"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. 1- fornisce l’andamento, dal 2007 al 2013, del rapporto tra il monte “redditi da lavoro dipendente” ed il PIL nei 5 paesi UE più importanti.</w:t>
      </w:r>
    </w:p>
    <w:p w:rsidR="00FF0F01" w:rsidRDefault="00FF0F01" w:rsidP="00FF0F01">
      <w:pPr>
        <w:keepNext/>
        <w:spacing w:before="240" w:after="60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Nel 2007, in Italia i lavoratori dipendenti aggregavano redditi pari al 40,7 % del PIL. Negli altri 4 paesi il dato superava il nostro dai 7 punti della Spagna (47,9%), ai quasi 9 punti  della Germania (48,9%), agli 11 della Francia (51,8%)  ai 13 punti della Gran Bretagna. La media UE si attestava al 48,1 % del PIL complessivo.</w:t>
      </w:r>
    </w:p>
    <w:p w:rsidR="00FF0F01" w:rsidRDefault="00FF0F01" w:rsidP="00FF0F01">
      <w:pPr>
        <w:keepNext/>
        <w:spacing w:before="240" w:after="60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Nel 2013, i redditi da lavoro dipendente in Italia sono passati dal 40,7 al 42,7 del PIL; la Germania sale al 51,7%, la Francia al 53,3 % e la Gran Bretagna al 53,7%. La Spagna, arretra sul 2007 collocandosi al 45,5%, con 3 punti superiore al ns. 42,7%.</w:t>
      </w:r>
    </w:p>
    <w:p w:rsidR="00FF0F01" w:rsidRDefault="00FF0F01" w:rsidP="00FF0F01">
      <w:pPr>
        <w:spacing w:line="405" w:lineRule="atLeast"/>
        <w:jc w:val="center"/>
        <w:rPr>
          <w:rFonts w:ascii="Century Gothic" w:hAnsi="Century Gothic"/>
          <w:color w:val="000000"/>
          <w:sz w:val="20"/>
          <w:szCs w:val="20"/>
          <w:lang w:eastAsia="it-IT"/>
        </w:rPr>
      </w:pPr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 xml:space="preserve">TAB.1-Redditi lavoro dipendente in % del </w:t>
      </w:r>
      <w:proofErr w:type="spellStart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PIL.Andamento</w:t>
      </w:r>
      <w:proofErr w:type="spellEnd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 xml:space="preserve"> 2007-2013. Fonte </w:t>
      </w:r>
      <w:proofErr w:type="spellStart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Eurostat</w:t>
      </w:r>
      <w:proofErr w:type="spellEnd"/>
    </w:p>
    <w:p w:rsidR="00FF0F01" w:rsidRDefault="00FF0F01" w:rsidP="00FF0F01">
      <w:pPr>
        <w:spacing w:line="311" w:lineRule="atLeast"/>
        <w:jc w:val="center"/>
        <w:rPr>
          <w:rFonts w:ascii="Century Gothic" w:hAnsi="Century Gothic"/>
          <w:color w:val="000000"/>
          <w:sz w:val="20"/>
          <w:szCs w:val="20"/>
          <w:lang w:eastAsia="it-IT"/>
        </w:rPr>
      </w:pPr>
      <w:r>
        <w:rPr>
          <w:rFonts w:ascii="Century Gothic" w:hAnsi="Century Gothic"/>
          <w:b/>
          <w:bCs/>
          <w:color w:val="000000"/>
          <w:sz w:val="20"/>
          <w:szCs w:val="20"/>
          <w:lang w:eastAsia="it-IT"/>
        </w:rPr>
        <w:t> </w:t>
      </w:r>
    </w:p>
    <w:tbl>
      <w:tblPr>
        <w:tblW w:w="0" w:type="auto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7"/>
        <w:gridCol w:w="1004"/>
        <w:gridCol w:w="999"/>
        <w:gridCol w:w="999"/>
        <w:gridCol w:w="1000"/>
        <w:gridCol w:w="999"/>
        <w:gridCol w:w="1000"/>
        <w:gridCol w:w="1000"/>
      </w:tblGrid>
      <w:tr w:rsidR="00FF0F01" w:rsidTr="00FF0F01">
        <w:trPr>
          <w:trHeight w:val="525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311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2007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2013</w:t>
            </w:r>
          </w:p>
        </w:tc>
      </w:tr>
      <w:tr w:rsidR="00FF0F01" w:rsidTr="00FF0F01">
        <w:trPr>
          <w:trHeight w:val="68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68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UE (28 paesi)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48.1 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48.8 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50.2 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49.4 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49.1 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49.5 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68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49.3 </w:t>
            </w:r>
          </w:p>
        </w:tc>
      </w:tr>
      <w:tr w:rsidR="00FF0F01" w:rsidTr="00FF0F01">
        <w:trPr>
          <w:trHeight w:val="71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71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Area dell'euro (18 p.)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47.4 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48.3 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49.2 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49.0 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49.2 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71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49.1 </w:t>
            </w:r>
          </w:p>
        </w:tc>
      </w:tr>
      <w:tr w:rsidR="00FF0F01" w:rsidTr="00FF0F01">
        <w:trPr>
          <w:trHeight w:val="59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59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Italia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40.7 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41.8 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42.8 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42.4 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42.4 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42.7 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42.7 </w:t>
            </w:r>
          </w:p>
        </w:tc>
      </w:tr>
      <w:tr w:rsidR="00FF0F01" w:rsidTr="00FF0F01">
        <w:trPr>
          <w:trHeight w:val="59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59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Francia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51.8 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52.1 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53.6 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53.3 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53.2 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53.4 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53.3 </w:t>
            </w:r>
          </w:p>
        </w:tc>
      </w:tr>
      <w:tr w:rsidR="00FF0F01" w:rsidTr="00FF0F01">
        <w:trPr>
          <w:trHeight w:val="84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84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Germania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49.7 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51.9 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50.8 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50.7 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51.6 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84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51.7 </w:t>
            </w:r>
          </w:p>
        </w:tc>
      </w:tr>
      <w:tr w:rsidR="00FF0F01" w:rsidTr="00FF0F01">
        <w:trPr>
          <w:trHeight w:val="59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59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Gran Bretagna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53.1 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53.1 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55.0 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54.0 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53.4 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53.7 </w:t>
            </w:r>
          </w:p>
        </w:tc>
      </w:tr>
      <w:tr w:rsidR="00FF0F01" w:rsidTr="00FF0F01">
        <w:trPr>
          <w:trHeight w:val="59"/>
          <w:tblCellSpacing w:w="0" w:type="dxa"/>
          <w:jc w:val="center"/>
        </w:trPr>
        <w:tc>
          <w:tcPr>
            <w:tcW w:w="2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59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Spagna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47.9 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49.4 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50.1 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49.2 </w:t>
            </w:r>
          </w:p>
        </w:tc>
        <w:tc>
          <w:tcPr>
            <w:tcW w:w="1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48.8 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46.9 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59" w:lineRule="atLeast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45.5 </w:t>
            </w:r>
          </w:p>
        </w:tc>
      </w:tr>
    </w:tbl>
    <w:p w:rsidR="00FF0F01" w:rsidRDefault="00FF0F01" w:rsidP="00FF0F01">
      <w:pPr>
        <w:spacing w:after="200" w:line="311" w:lineRule="atLeast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000000"/>
          <w:sz w:val="20"/>
          <w:szCs w:val="20"/>
          <w:lang w:eastAsia="it-IT"/>
        </w:rPr>
        <w:t> </w:t>
      </w: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 xml:space="preserve">Stiamo quindi parlando di decine di miliardi di euro (per la Spagna) e centinaia (per Francia, Germania e Gran Bretagna) a sostegno della rispettiva domanda </w:t>
      </w: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lastRenderedPageBreak/>
        <w:t>interna in quanto redditi per le famiglie. E’ questo l’effetto della politica ottusa e sconsiderata adottata in per tenere basse o nulle le richieste di adeguamento di salari e stipendi di operai e impiegati del settore sia privato che pubblico negli ultimi 15 anni.  E’ possibile avere verifica di quanto affermato. La </w:t>
      </w:r>
      <w:proofErr w:type="spellStart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Tab</w:t>
      </w:r>
      <w:proofErr w:type="spellEnd"/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. 2  mostra l’andamento 2007-2013 della spesa per consumi finali delle famiglie dei 5 paesi monitorati. A fronte di un ns. modesto + 3,4 %, in Germania la spesa delle famiglie è cresciuta quasi del 16 %, in Francia dell’11; in Gran Bretagna si è  assistito ad un calo (-5%),compensato da un abbattimento della tassazione a carico del settore produttivo, operata a fronte di drastica riduzione dei dipendenti pubblici (circa 500mila licenziati). Motivazione simile inglesi per andamento Spagna.</w:t>
      </w:r>
    </w:p>
    <w:p w:rsidR="00FF0F01" w:rsidRDefault="00FF0F01" w:rsidP="00FF0F01">
      <w:pPr>
        <w:spacing w:line="311" w:lineRule="atLeast"/>
        <w:jc w:val="center"/>
        <w:rPr>
          <w:rFonts w:ascii="Century Gothic" w:hAnsi="Century Gothic"/>
          <w:color w:val="000000"/>
          <w:sz w:val="20"/>
          <w:szCs w:val="20"/>
          <w:lang w:eastAsia="it-IT"/>
        </w:rPr>
      </w:pPr>
      <w:proofErr w:type="spellStart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Tab</w:t>
      </w:r>
      <w:proofErr w:type="spellEnd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. 2 - Spesa per consumi finali famiglie ed istituzioni senza scopo di lucro al servizio delle famiglie Andamento 2007-2013.  Fonte </w:t>
      </w:r>
      <w:proofErr w:type="spellStart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>Eurostat</w:t>
      </w:r>
      <w:proofErr w:type="spellEnd"/>
      <w:r>
        <w:rPr>
          <w:rFonts w:ascii="Century Gothic" w:hAnsi="Century Gothic"/>
          <w:b/>
          <w:bCs/>
          <w:color w:val="17365D"/>
          <w:sz w:val="20"/>
          <w:szCs w:val="20"/>
          <w:lang w:eastAsia="it-IT"/>
        </w:rPr>
        <w:t xml:space="preserve"> (Miliardi di euro)</w:t>
      </w:r>
    </w:p>
    <w:p w:rsidR="00FF0F01" w:rsidRDefault="00FF0F01" w:rsidP="00FF0F01">
      <w:pPr>
        <w:spacing w:line="311" w:lineRule="atLeast"/>
        <w:jc w:val="center"/>
        <w:rPr>
          <w:rFonts w:ascii="Century Gothic" w:hAnsi="Century Gothic"/>
          <w:color w:val="000000"/>
          <w:sz w:val="20"/>
          <w:szCs w:val="20"/>
          <w:lang w:eastAsia="it-IT"/>
        </w:rPr>
      </w:pPr>
      <w:r>
        <w:rPr>
          <w:rFonts w:ascii="Century Gothic" w:hAnsi="Century Gothic"/>
          <w:b/>
          <w:bCs/>
          <w:color w:val="000000"/>
          <w:sz w:val="20"/>
          <w:szCs w:val="20"/>
          <w:lang w:eastAsia="it-IT"/>
        </w:rPr>
        <w:t> </w:t>
      </w:r>
    </w:p>
    <w:tbl>
      <w:tblPr>
        <w:tblW w:w="5089" w:type="pct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5"/>
        <w:gridCol w:w="982"/>
        <w:gridCol w:w="982"/>
        <w:gridCol w:w="982"/>
        <w:gridCol w:w="982"/>
        <w:gridCol w:w="982"/>
        <w:gridCol w:w="982"/>
        <w:gridCol w:w="982"/>
        <w:gridCol w:w="1424"/>
      </w:tblGrid>
      <w:tr w:rsidR="00FF0F01" w:rsidTr="00FF0F01">
        <w:trPr>
          <w:trHeight w:val="525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311" w:lineRule="atLeas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2007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vAlign w:val="center"/>
            <w:hideMark/>
          </w:tcPr>
          <w:p w:rsidR="00FF0F01" w:rsidRDefault="00FF0F01">
            <w:pPr>
              <w:spacing w:line="311" w:lineRule="atLeast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hideMark/>
          </w:tcPr>
          <w:p w:rsidR="00FF0F01" w:rsidRDefault="00FF0F01">
            <w:pPr>
              <w:spacing w:line="311" w:lineRule="atLeast"/>
              <w:ind w:right="136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Differenza %</w:t>
            </w:r>
          </w:p>
          <w:p w:rsidR="00FF0F01" w:rsidRDefault="00FF0F01">
            <w:pPr>
              <w:spacing w:line="311" w:lineRule="atLeast"/>
              <w:ind w:right="136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2013/2007</w:t>
            </w:r>
          </w:p>
        </w:tc>
      </w:tr>
      <w:tr w:rsidR="00FF0F01" w:rsidTr="00FF0F01">
        <w:trPr>
          <w:trHeight w:val="115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Italia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911,025 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932,007 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916,594 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943,963 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968,033 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954,700 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941,988 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+ 3,4 %</w:t>
            </w:r>
          </w:p>
        </w:tc>
      </w:tr>
      <w:tr w:rsidR="00FF0F01" w:rsidTr="00FF0F01">
        <w:trPr>
          <w:trHeight w:val="53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Francia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1.065,936 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1.099,649 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1.095,663 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1.125,082 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1,155,264 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1.172,277 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1.183,526 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+ 11,0 %</w:t>
            </w:r>
          </w:p>
        </w:tc>
      </w:tr>
      <w:tr w:rsidR="00FF0F01" w:rsidTr="00FF0F01">
        <w:trPr>
          <w:trHeight w:val="53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Germania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1.356,730 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1.389,620 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1.392,570 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1.435,090 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1,498,350 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1.533,870 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1.573,090 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+ 15,9 %</w:t>
            </w:r>
          </w:p>
        </w:tc>
      </w:tr>
      <w:tr w:rsidR="00FF0F01" w:rsidTr="00FF0F01">
        <w:trPr>
          <w:trHeight w:val="53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Gr. Bretagna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1.327,625 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1.166,157 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1.023,992 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1.117,453 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1,143,406 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1.263,891 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1.261,037 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- </w:t>
            </w:r>
            <w:r>
              <w:rPr>
                <w:rFonts w:ascii="Century Gothic" w:hAnsi="Century Gothic"/>
                <w:sz w:val="20"/>
                <w:szCs w:val="20"/>
              </w:rPr>
              <w:t>5,0 %</w:t>
            </w:r>
          </w:p>
        </w:tc>
      </w:tr>
      <w:tr w:rsidR="00FF0F01" w:rsidTr="00FF0F01">
        <w:trPr>
          <w:trHeight w:val="53"/>
          <w:tblCellSpacing w:w="0" w:type="dxa"/>
          <w:jc w:val="center"/>
        </w:trPr>
        <w:tc>
          <w:tcPr>
            <w:tcW w:w="8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6923C"/>
            <w:noWrap/>
            <w:tcMar>
              <w:top w:w="0" w:type="dxa"/>
              <w:left w:w="180" w:type="dxa"/>
              <w:bottom w:w="0" w:type="dxa"/>
              <w:right w:w="150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Spagna</w:t>
            </w:r>
          </w:p>
        </w:tc>
        <w:tc>
          <w:tcPr>
            <w:tcW w:w="4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604,654 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622,368 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592,770 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605,104 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612,826 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610,639 </w:t>
            </w:r>
          </w:p>
        </w:tc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606,096 </w:t>
            </w:r>
          </w:p>
        </w:tc>
        <w:tc>
          <w:tcPr>
            <w:tcW w:w="7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F0F01" w:rsidRDefault="00FF0F01">
            <w:pPr>
              <w:spacing w:line="276" w:lineRule="auto"/>
              <w:ind w:right="136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+ 0,2 %</w:t>
            </w:r>
          </w:p>
        </w:tc>
      </w:tr>
    </w:tbl>
    <w:p w:rsidR="00FF0F01" w:rsidRDefault="00FF0F01" w:rsidP="00FF0F01">
      <w:pPr>
        <w:spacing w:after="200" w:line="405" w:lineRule="atLeast"/>
        <w:jc w:val="both"/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</w:pPr>
      <w:r>
        <w:rPr>
          <w:rFonts w:ascii="Century Gothic" w:hAnsi="Century Gothic"/>
          <w:b/>
          <w:bCs/>
          <w:color w:val="17365D"/>
          <w:sz w:val="24"/>
          <w:szCs w:val="24"/>
          <w:lang w:eastAsia="it-IT"/>
        </w:rPr>
        <w:t>Nel 2013 i consumi pari a 941,9 miliardi di euro, sono stati inferiori a quelli del 2010 (943,9 mld) a dimostrazione della crisi dei consumi e della grave sofferenze delle famiglie.</w:t>
      </w:r>
    </w:p>
    <w:tbl>
      <w:tblPr>
        <w:tblW w:w="5089" w:type="pct"/>
        <w:jc w:val="center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7"/>
        <w:gridCol w:w="1416"/>
        <w:gridCol w:w="2371"/>
        <w:gridCol w:w="1384"/>
        <w:gridCol w:w="1151"/>
      </w:tblGrid>
      <w:tr w:rsidR="00FF0F01" w:rsidTr="00FF0F01">
        <w:trPr>
          <w:trHeight w:val="483"/>
          <w:jc w:val="center"/>
        </w:trPr>
        <w:tc>
          <w:tcPr>
            <w:tcW w:w="1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PUBBLICO</w:t>
            </w:r>
          </w:p>
          <w:p w:rsidR="00FF0F01" w:rsidRDefault="00FF0F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 miliardi di €</w:t>
            </w:r>
          </w:p>
        </w:tc>
        <w:tc>
          <w:tcPr>
            <w:tcW w:w="11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AUMENTO del DEBITO in miliardi (in parentesi l’aumento medio mensile)</w:t>
            </w:r>
          </w:p>
        </w:tc>
        <w:tc>
          <w:tcPr>
            <w:tcW w:w="6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pro capite a fine mandato in €</w:t>
            </w:r>
          </w:p>
        </w:tc>
        <w:tc>
          <w:tcPr>
            <w:tcW w:w="5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Maggior debito pro capite in €</w:t>
            </w: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GOVERNO LETTA  (da fine aprile 2013)  (10 mesi)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ind w:right="-16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aprile 2013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2.041,293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ind w:right="-16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Febbraio 2014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2.107,157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/>
              <w:ind w:right="-16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+ 65,864 mld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(6,5  mld/mese)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35.354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+ 1.105</w:t>
            </w: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/>
              <w:ind w:right="-16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GOVERNO RENZI (da fine febbraio 2014) (9 mesi)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ind w:right="20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febbraio 2014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2.107,157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ind w:right="20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</w:p>
        </w:tc>
      </w:tr>
      <w:tr w:rsidR="00FF0F01" w:rsidTr="00FF0F01">
        <w:trPr>
          <w:jc w:val="center"/>
        </w:trPr>
        <w:tc>
          <w:tcPr>
            <w:tcW w:w="18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Debito novembre 2014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2.160,114</w:t>
            </w:r>
          </w:p>
        </w:tc>
        <w:tc>
          <w:tcPr>
            <w:tcW w:w="1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+52,975mld  </w:t>
            </w:r>
            <w:r>
              <w:rPr>
                <w:b/>
                <w:bCs/>
                <w:sz w:val="20"/>
                <w:szCs w:val="20"/>
              </w:rPr>
              <w:t>(5,9 mld/mese)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F01" w:rsidRDefault="00FF0F01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36.243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F01" w:rsidRDefault="00FF0F01">
            <w:pPr>
              <w:spacing w:before="100" w:beforeAutospacing="1" w:after="100" w:afterAutospacing="1"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+ 888</w:t>
            </w:r>
          </w:p>
        </w:tc>
      </w:tr>
    </w:tbl>
    <w:p w:rsidR="00FF0F01" w:rsidRDefault="00FF0F01" w:rsidP="00FF0F01">
      <w:pPr>
        <w:spacing w:after="200" w:line="276" w:lineRule="auto"/>
        <w:jc w:val="both"/>
        <w:rPr>
          <w:sz w:val="28"/>
          <w:szCs w:val="28"/>
        </w:rPr>
      </w:pPr>
    </w:p>
    <w:p w:rsidR="00FF0F01" w:rsidRDefault="00FF0F01" w:rsidP="00FF0F0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                                Elio Lannutti (Adusbef) - Rosario Trefiletti (Federconsumatori)</w:t>
      </w:r>
    </w:p>
    <w:p w:rsidR="00FF0F01" w:rsidRDefault="00FF0F01" w:rsidP="00FF0F0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Roma, 17-1-2015 </w:t>
      </w:r>
    </w:p>
    <w:p w:rsidR="00C200C3" w:rsidRDefault="00C200C3"/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F01"/>
    <w:rsid w:val="00073741"/>
    <w:rsid w:val="00130235"/>
    <w:rsid w:val="001A3C40"/>
    <w:rsid w:val="001D07B7"/>
    <w:rsid w:val="001D0D71"/>
    <w:rsid w:val="002E4C34"/>
    <w:rsid w:val="00370059"/>
    <w:rsid w:val="00424BEE"/>
    <w:rsid w:val="004B0A7D"/>
    <w:rsid w:val="004B75D8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8615F"/>
    <w:rsid w:val="009B4EA1"/>
    <w:rsid w:val="009C1449"/>
    <w:rsid w:val="00A42182"/>
    <w:rsid w:val="00B03057"/>
    <w:rsid w:val="00B35AE5"/>
    <w:rsid w:val="00B90F78"/>
    <w:rsid w:val="00B93CCA"/>
    <w:rsid w:val="00C200C3"/>
    <w:rsid w:val="00C55771"/>
    <w:rsid w:val="00C76E16"/>
    <w:rsid w:val="00C848D3"/>
    <w:rsid w:val="00D05D56"/>
    <w:rsid w:val="00D07FAE"/>
    <w:rsid w:val="00D136AC"/>
    <w:rsid w:val="00D709E1"/>
    <w:rsid w:val="00DB5BBF"/>
    <w:rsid w:val="00E612FB"/>
    <w:rsid w:val="00EE7D98"/>
    <w:rsid w:val="00F43ED9"/>
    <w:rsid w:val="00FF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0F01"/>
    <w:pPr>
      <w:spacing w:before="0" w:after="0"/>
      <w:jc w:val="left"/>
    </w:pPr>
    <w:rPr>
      <w:rFonts w:ascii="Calibri" w:hAnsi="Calibr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ascii="Century Gothic" w:hAnsi="Century Gothic" w:cs="Century Gothic"/>
      <w:b/>
      <w:bCs/>
      <w:color w:val="17365D" w:themeColor="text2" w:themeShade="BF"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ascii="Century Gothic" w:eastAsiaTheme="minorEastAsia" w:hAnsi="Century Gothic" w:cs="Century Gothic"/>
      <w:b/>
      <w:bCs/>
      <w:iCs/>
      <w:color w:val="17365D" w:themeColor="text2" w:themeShade="BF"/>
      <w:kern w:val="36"/>
      <w:sz w:val="28"/>
      <w:szCs w:val="1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ascii="Century Gothic" w:hAnsi="Century Gothic" w:cs="Century Gothic"/>
      <w:b/>
      <w:bCs/>
      <w:color w:val="17365D" w:themeColor="text2" w:themeShade="BF"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outlineLvl w:val="3"/>
    </w:pPr>
    <w:rPr>
      <w:rFonts w:ascii="Century Gothic" w:hAnsi="Century Gothic"/>
      <w:b/>
      <w:bCs/>
      <w:color w:val="17365D" w:themeColor="text2" w:themeShade="BF"/>
      <w:sz w:val="24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jc w:val="both"/>
      <w:outlineLvl w:val="5"/>
    </w:pPr>
    <w:rPr>
      <w:rFonts w:ascii="Times New Roman" w:hAnsi="Times New Roman"/>
      <w:b/>
      <w:bCs/>
      <w:color w:val="17365D" w:themeColor="text2" w:themeShade="B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  <w:jc w:val="both"/>
    </w:pPr>
    <w:rPr>
      <w:rFonts w:ascii="Century Gothic" w:eastAsia="Times New Roman" w:hAnsi="Century Gothic" w:cs="Century Gothic"/>
      <w:bCs/>
      <w:iCs/>
      <w:color w:val="17365D" w:themeColor="text2" w:themeShade="BF"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ascii="Century Gothic" w:hAnsi="Century Gothic" w:cs="Arial"/>
      <w:b/>
      <w:bCs/>
      <w:color w:val="17365D" w:themeColor="text2" w:themeShade="BF"/>
      <w:sz w:val="34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before="120" w:after="120"/>
      <w:ind w:left="600" w:firstLine="567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  <w:jc w:val="both"/>
    </w:pPr>
    <w:rPr>
      <w:rFonts w:ascii="Century Gothic" w:hAnsi="Century Gothic" w:cs="Century Gothic"/>
      <w:color w:val="17365D" w:themeColor="text2" w:themeShade="BF"/>
      <w:sz w:val="24"/>
      <w:szCs w:val="24"/>
      <w:lang w:eastAsia="it-IT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before="120" w:after="120"/>
      <w:ind w:right="-2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before="120" w:after="120"/>
      <w:ind w:left="44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before="120" w:after="1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before="120" w:after="120"/>
      <w:ind w:left="480"/>
      <w:jc w:val="both"/>
    </w:pPr>
    <w:rPr>
      <w:rFonts w:ascii="Century Gothic" w:hAnsi="Century Gothic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before="120" w:after="120"/>
      <w:jc w:val="both"/>
    </w:pPr>
    <w:rPr>
      <w:color w:val="17365D" w:themeColor="text2" w:themeShade="BF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before="120" w:after="120"/>
      <w:jc w:val="both"/>
    </w:pPr>
    <w:rPr>
      <w:rFonts w:ascii="Tahoma" w:hAnsi="Tahoma" w:cs="Tahoma"/>
      <w:color w:val="17365D" w:themeColor="text2" w:themeShade="BF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spacing w:before="120" w:after="120"/>
      <w:ind w:left="2160"/>
      <w:jc w:val="both"/>
    </w:pPr>
    <w:rPr>
      <w:rFonts w:ascii="Century Gothic" w:hAnsi="Century Gothic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before="120" w:after="120"/>
      <w:ind w:left="7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0F01"/>
    <w:pPr>
      <w:spacing w:before="0" w:after="0"/>
      <w:jc w:val="left"/>
    </w:pPr>
    <w:rPr>
      <w:rFonts w:ascii="Calibri" w:hAnsi="Calibr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ascii="Century Gothic" w:hAnsi="Century Gothic" w:cs="Century Gothic"/>
      <w:b/>
      <w:bCs/>
      <w:color w:val="17365D" w:themeColor="text2" w:themeShade="BF"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ascii="Century Gothic" w:eastAsiaTheme="minorEastAsia" w:hAnsi="Century Gothic" w:cs="Century Gothic"/>
      <w:b/>
      <w:bCs/>
      <w:iCs/>
      <w:color w:val="17365D" w:themeColor="text2" w:themeShade="BF"/>
      <w:kern w:val="36"/>
      <w:sz w:val="28"/>
      <w:szCs w:val="1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ascii="Century Gothic" w:hAnsi="Century Gothic" w:cs="Century Gothic"/>
      <w:b/>
      <w:bCs/>
      <w:color w:val="17365D" w:themeColor="text2" w:themeShade="BF"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outlineLvl w:val="3"/>
    </w:pPr>
    <w:rPr>
      <w:rFonts w:ascii="Century Gothic" w:hAnsi="Century Gothic"/>
      <w:b/>
      <w:bCs/>
      <w:color w:val="17365D" w:themeColor="text2" w:themeShade="BF"/>
      <w:sz w:val="24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jc w:val="both"/>
      <w:outlineLvl w:val="5"/>
    </w:pPr>
    <w:rPr>
      <w:rFonts w:ascii="Times New Roman" w:hAnsi="Times New Roman"/>
      <w:b/>
      <w:bCs/>
      <w:color w:val="17365D" w:themeColor="text2" w:themeShade="B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  <w:jc w:val="both"/>
    </w:pPr>
    <w:rPr>
      <w:rFonts w:ascii="Century Gothic" w:eastAsia="Times New Roman" w:hAnsi="Century Gothic" w:cs="Century Gothic"/>
      <w:bCs/>
      <w:iCs/>
      <w:color w:val="17365D" w:themeColor="text2" w:themeShade="BF"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ascii="Century Gothic" w:hAnsi="Century Gothic" w:cs="Arial"/>
      <w:b/>
      <w:bCs/>
      <w:color w:val="17365D" w:themeColor="text2" w:themeShade="BF"/>
      <w:sz w:val="34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before="120" w:after="120"/>
      <w:ind w:left="600" w:firstLine="567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  <w:jc w:val="both"/>
    </w:pPr>
    <w:rPr>
      <w:rFonts w:ascii="Century Gothic" w:hAnsi="Century Gothic" w:cs="Century Gothic"/>
      <w:color w:val="17365D" w:themeColor="text2" w:themeShade="BF"/>
      <w:sz w:val="24"/>
      <w:szCs w:val="24"/>
      <w:lang w:eastAsia="it-IT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before="120" w:after="120"/>
      <w:ind w:right="-2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before="120" w:after="120"/>
      <w:ind w:left="44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before="120" w:after="12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before="120" w:after="1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before="120" w:after="120"/>
      <w:ind w:left="480"/>
      <w:jc w:val="both"/>
    </w:pPr>
    <w:rPr>
      <w:rFonts w:ascii="Century Gothic" w:hAnsi="Century Gothic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before="120" w:after="120"/>
      <w:jc w:val="both"/>
    </w:pPr>
    <w:rPr>
      <w:color w:val="17365D" w:themeColor="text2" w:themeShade="BF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before="120" w:after="120"/>
      <w:jc w:val="both"/>
    </w:pPr>
    <w:rPr>
      <w:rFonts w:ascii="Tahoma" w:hAnsi="Tahoma" w:cs="Tahoma"/>
      <w:color w:val="17365D" w:themeColor="text2" w:themeShade="BF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basedOn w:val="Normale"/>
    <w:uiPriority w:val="1"/>
    <w:qFormat/>
    <w:rsid w:val="00130235"/>
    <w:pPr>
      <w:spacing w:before="120" w:after="120"/>
      <w:ind w:left="2160"/>
      <w:jc w:val="both"/>
    </w:pPr>
    <w:rPr>
      <w:rFonts w:ascii="Century Gothic" w:hAnsi="Century Gothic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before="120" w:after="120"/>
      <w:ind w:left="7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6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2</cp:revision>
  <dcterms:created xsi:type="dcterms:W3CDTF">2015-01-19T09:20:00Z</dcterms:created>
  <dcterms:modified xsi:type="dcterms:W3CDTF">2015-01-19T09:20:00Z</dcterms:modified>
</cp:coreProperties>
</file>