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A04" w:rsidRDefault="00072A04" w:rsidP="00072A04">
      <w:pPr>
        <w:spacing w:after="0"/>
        <w:jc w:val="center"/>
        <w:rPr>
          <w:b/>
          <w:bCs/>
          <w:sz w:val="24"/>
          <w:szCs w:val="24"/>
        </w:rPr>
      </w:pPr>
    </w:p>
    <w:p w:rsidR="00072A04" w:rsidRDefault="00072A04" w:rsidP="00072A04">
      <w:pPr>
        <w:spacing w:after="0"/>
        <w:jc w:val="center"/>
        <w:rPr>
          <w:b/>
          <w:bCs/>
          <w:sz w:val="24"/>
          <w:szCs w:val="24"/>
        </w:rPr>
      </w:pPr>
      <w:r>
        <w:rPr>
          <w:b/>
          <w:bCs/>
          <w:sz w:val="24"/>
          <w:szCs w:val="24"/>
        </w:rPr>
        <w:t>COMUNICATO STAMPA</w:t>
      </w:r>
    </w:p>
    <w:p w:rsidR="00072A04" w:rsidRDefault="00072A04" w:rsidP="00072A04">
      <w:pPr>
        <w:spacing w:after="0"/>
        <w:jc w:val="center"/>
        <w:rPr>
          <w:b/>
          <w:bCs/>
          <w:sz w:val="24"/>
          <w:szCs w:val="24"/>
        </w:rPr>
      </w:pPr>
    </w:p>
    <w:p w:rsidR="00072A04" w:rsidRDefault="00072A04" w:rsidP="00072A04">
      <w:pPr>
        <w:spacing w:after="0"/>
        <w:jc w:val="center"/>
        <w:rPr>
          <w:b/>
          <w:bCs/>
          <w:sz w:val="24"/>
          <w:szCs w:val="24"/>
        </w:rPr>
      </w:pPr>
      <w:r>
        <w:rPr>
          <w:b/>
          <w:bCs/>
          <w:sz w:val="24"/>
          <w:szCs w:val="24"/>
        </w:rPr>
        <w:t>DEBITO PUBBLICO: MACIGNO CHE GRAVA SULLE SPALLE DEGLI ITALIANI (36.385 PRO-CAPITE) CONTINUA A SALIRE. IN 15 MESI (DA INIZIO LEGISLATURA COI GOVERNI LETTA E RENZI), CRESCIUTO DI 127 MILIARDI, CON GRAVAME TASSA OCCULTA DI 2.135 EURO A CITTADINO. INFRANGERE TABU’ DA SACRO GRAAL,CON VENDITA ORO E RISERVE</w:t>
      </w:r>
    </w:p>
    <w:p w:rsidR="00072A04" w:rsidRDefault="00072A04" w:rsidP="00072A04">
      <w:pPr>
        <w:spacing w:after="0"/>
        <w:jc w:val="center"/>
        <w:rPr>
          <w:b/>
          <w:bCs/>
          <w:sz w:val="24"/>
          <w:szCs w:val="24"/>
        </w:rPr>
      </w:pPr>
    </w:p>
    <w:p w:rsidR="00072A04" w:rsidRDefault="00072A04" w:rsidP="00072A04">
      <w:pPr>
        <w:spacing w:after="0"/>
        <w:jc w:val="both"/>
        <w:rPr>
          <w:color w:val="FF0000"/>
        </w:rPr>
      </w:pPr>
      <w:r>
        <w:t xml:space="preserve">   Il governo di Matteo  </w:t>
      </w:r>
      <w:r>
        <w:rPr>
          <w:b/>
          <w:bCs/>
        </w:rPr>
        <w:t xml:space="preserve">Renzi, </w:t>
      </w:r>
      <w:r>
        <w:t>partito a fine febbraio con un debito pubblico di 2.107 miliardi di euro, termina il quinto mese di governo con il fardello salito a 2.168,600 miliardi, un aumento di 61,443 miliardi ed un maggior carico per i cittadini di 1.030 euro ciascuno. Il debito a carico di ciascun  italiano a fine luglio è pari a 36.385</w:t>
      </w:r>
      <w:r>
        <w:rPr>
          <w:color w:val="FF0000"/>
        </w:rPr>
        <w:t xml:space="preserve"> </w:t>
      </w:r>
      <w:r>
        <w:t>euro</w:t>
      </w:r>
      <w:r>
        <w:rPr>
          <w:color w:val="FF0000"/>
        </w:rPr>
        <w:t>.</w:t>
      </w:r>
    </w:p>
    <w:p w:rsidR="00072A04" w:rsidRDefault="00072A04" w:rsidP="00072A04">
      <w:pPr>
        <w:spacing w:after="0"/>
        <w:jc w:val="both"/>
        <w:rPr>
          <w:color w:val="FF0000"/>
        </w:rPr>
      </w:pPr>
      <w:r>
        <w:t xml:space="preserve">   Il governo </w:t>
      </w:r>
      <w:r>
        <w:rPr>
          <w:b/>
          <w:bCs/>
        </w:rPr>
        <w:t>Letta</w:t>
      </w:r>
      <w:r>
        <w:t>, partito</w:t>
      </w:r>
      <w:r>
        <w:rPr>
          <w:b/>
          <w:bCs/>
        </w:rPr>
        <w:t xml:space="preserve"> </w:t>
      </w:r>
      <w:r>
        <w:t xml:space="preserve">a fine aprile 2013 con un debito di 2.041,293 miliardi di euro, ha concluso il suo governo, a fine febbraio 2014, con un debito pubblico salito a 2.107,157, con un aumento in 10 mesi di oltre 48 miliardi, e un maggior carico pro capite per i cittadini di 1.105 euro imputabile alla sua politica da cicala che non ha ridotto la spesa pubblica. </w:t>
      </w:r>
    </w:p>
    <w:p w:rsidR="00072A04" w:rsidRDefault="00072A04" w:rsidP="00072A04">
      <w:pPr>
        <w:spacing w:after="0"/>
        <w:jc w:val="both"/>
        <w:rPr>
          <w:color w:val="FF0000"/>
        </w:rPr>
      </w:pPr>
    </w:p>
    <w:p w:rsidR="00072A04" w:rsidRDefault="00072A04" w:rsidP="00072A04">
      <w:pPr>
        <w:spacing w:after="0"/>
        <w:jc w:val="center"/>
        <w:rPr>
          <w:b/>
          <w:bCs/>
          <w:sz w:val="24"/>
          <w:szCs w:val="24"/>
        </w:rPr>
      </w:pPr>
    </w:p>
    <w:p w:rsidR="00072A04" w:rsidRDefault="00072A04" w:rsidP="00072A04">
      <w:pPr>
        <w:spacing w:after="0"/>
        <w:jc w:val="center"/>
        <w:rPr>
          <w:b/>
          <w:bCs/>
          <w:sz w:val="24"/>
          <w:szCs w:val="24"/>
        </w:rPr>
      </w:pPr>
      <w:r>
        <w:rPr>
          <w:b/>
          <w:bCs/>
          <w:sz w:val="24"/>
          <w:szCs w:val="24"/>
        </w:rPr>
        <w:t>DEBITO PUBBLICO E GOVERNI DELLA REPUBBLICA</w:t>
      </w:r>
    </w:p>
    <w:p w:rsidR="00072A04" w:rsidRDefault="00072A04" w:rsidP="00072A04">
      <w:pPr>
        <w:jc w:val="center"/>
      </w:pPr>
      <w:r>
        <w:t>Fonte Bankitalia SBS “Finanza pubblica” n° 49 del 12-9-2014. Nostre elaborazioni</w:t>
      </w:r>
    </w:p>
    <w:tbl>
      <w:tblPr>
        <w:tblW w:w="5000" w:type="pct"/>
        <w:jc w:val="center"/>
        <w:tblCellMar>
          <w:left w:w="0" w:type="dxa"/>
          <w:right w:w="0" w:type="dxa"/>
        </w:tblCellMar>
        <w:tblLook w:val="04A0" w:firstRow="1" w:lastRow="0" w:firstColumn="1" w:lastColumn="0" w:noHBand="0" w:noVBand="1"/>
      </w:tblPr>
      <w:tblGrid>
        <w:gridCol w:w="3587"/>
        <w:gridCol w:w="1393"/>
        <w:gridCol w:w="2402"/>
        <w:gridCol w:w="1305"/>
        <w:gridCol w:w="1167"/>
      </w:tblGrid>
      <w:tr w:rsidR="00072A04" w:rsidTr="00072A04">
        <w:trPr>
          <w:trHeight w:val="483"/>
          <w:jc w:val="center"/>
        </w:trPr>
        <w:tc>
          <w:tcPr>
            <w:tcW w:w="18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72A04" w:rsidRDefault="00072A04">
            <w:pPr>
              <w:spacing w:after="0" w:line="240" w:lineRule="auto"/>
              <w:jc w:val="center"/>
              <w:rPr>
                <w:rFonts w:ascii="Times New Roman" w:hAnsi="Times New Roman"/>
                <w:b/>
                <w:bCs/>
                <w:sz w:val="16"/>
                <w:szCs w:val="16"/>
              </w:rPr>
            </w:pPr>
          </w:p>
        </w:tc>
        <w:tc>
          <w:tcPr>
            <w:tcW w:w="70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72A04" w:rsidRDefault="00072A04">
            <w:pPr>
              <w:spacing w:after="0" w:line="240" w:lineRule="auto"/>
              <w:jc w:val="center"/>
              <w:rPr>
                <w:rFonts w:ascii="Times New Roman" w:hAnsi="Times New Roman"/>
                <w:sz w:val="16"/>
                <w:szCs w:val="16"/>
              </w:rPr>
            </w:pPr>
            <w:r>
              <w:rPr>
                <w:b/>
                <w:bCs/>
                <w:sz w:val="16"/>
                <w:szCs w:val="16"/>
              </w:rPr>
              <w:t>DEBITO PUBBLICO</w:t>
            </w:r>
          </w:p>
          <w:p w:rsidR="00072A04" w:rsidRDefault="00072A04">
            <w:pPr>
              <w:spacing w:after="0" w:line="240" w:lineRule="auto"/>
              <w:jc w:val="center"/>
              <w:rPr>
                <w:rFonts w:ascii="Times New Roman" w:hAnsi="Times New Roman"/>
                <w:sz w:val="16"/>
                <w:szCs w:val="16"/>
              </w:rPr>
            </w:pPr>
            <w:r>
              <w:rPr>
                <w:b/>
                <w:bCs/>
                <w:sz w:val="16"/>
                <w:szCs w:val="16"/>
              </w:rPr>
              <w:t>In miliardi di €</w:t>
            </w:r>
          </w:p>
        </w:tc>
        <w:tc>
          <w:tcPr>
            <w:tcW w:w="12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72A04" w:rsidRDefault="00072A04">
            <w:pPr>
              <w:spacing w:after="0" w:line="240" w:lineRule="auto"/>
              <w:jc w:val="center"/>
              <w:rPr>
                <w:rFonts w:ascii="Times New Roman" w:hAnsi="Times New Roman"/>
                <w:sz w:val="16"/>
                <w:szCs w:val="16"/>
              </w:rPr>
            </w:pPr>
            <w:r>
              <w:rPr>
                <w:b/>
                <w:bCs/>
                <w:sz w:val="16"/>
                <w:szCs w:val="16"/>
              </w:rPr>
              <w:t>AUMENTO del DEBITO in miliardi (in parentesi l’aumento medio mensile)</w:t>
            </w:r>
          </w:p>
        </w:tc>
        <w:tc>
          <w:tcPr>
            <w:tcW w:w="6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72A04" w:rsidRDefault="00072A04">
            <w:pPr>
              <w:spacing w:after="0" w:line="240" w:lineRule="auto"/>
              <w:jc w:val="center"/>
              <w:rPr>
                <w:rFonts w:ascii="Times New Roman" w:hAnsi="Times New Roman"/>
                <w:b/>
                <w:bCs/>
                <w:sz w:val="16"/>
                <w:szCs w:val="16"/>
              </w:rPr>
            </w:pPr>
            <w:r>
              <w:rPr>
                <w:b/>
                <w:bCs/>
                <w:sz w:val="16"/>
                <w:szCs w:val="16"/>
              </w:rPr>
              <w:t>Debito pro capite a fine mandato in €</w:t>
            </w:r>
          </w:p>
        </w:tc>
        <w:tc>
          <w:tcPr>
            <w:tcW w:w="59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72A04" w:rsidRDefault="00072A04">
            <w:pPr>
              <w:spacing w:after="0" w:line="240" w:lineRule="auto"/>
              <w:jc w:val="center"/>
              <w:rPr>
                <w:rFonts w:ascii="Times New Roman" w:hAnsi="Times New Roman"/>
                <w:b/>
                <w:bCs/>
                <w:sz w:val="16"/>
                <w:szCs w:val="16"/>
              </w:rPr>
            </w:pPr>
            <w:r>
              <w:rPr>
                <w:b/>
                <w:bCs/>
                <w:sz w:val="16"/>
                <w:szCs w:val="16"/>
              </w:rPr>
              <w:t>Maggior debito pro capite in €</w:t>
            </w:r>
          </w:p>
        </w:tc>
      </w:tr>
      <w:tr w:rsidR="00072A04" w:rsidTr="00072A04">
        <w:trPr>
          <w:jc w:val="center"/>
        </w:trPr>
        <w:tc>
          <w:tcPr>
            <w:tcW w:w="182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rPr>
                <w:rFonts w:ascii="Times New Roman" w:hAnsi="Times New Roman"/>
                <w:b/>
                <w:bCs/>
                <w:sz w:val="8"/>
                <w:szCs w:val="8"/>
              </w:rPr>
            </w:pPr>
            <w:r>
              <w:rPr>
                <w:b/>
                <w:bCs/>
                <w:sz w:val="8"/>
                <w:szCs w:val="8"/>
              </w:rPr>
              <w:t> </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rPr>
                <w:rFonts w:ascii="Times New Roman" w:hAnsi="Times New Roman"/>
                <w:sz w:val="8"/>
                <w:szCs w:val="8"/>
              </w:rPr>
            </w:pPr>
            <w:r>
              <w:rPr>
                <w:sz w:val="8"/>
                <w:szCs w:val="8"/>
              </w:rPr>
              <w:t> </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rPr>
                <w:rFonts w:ascii="Times New Roman" w:hAnsi="Times New Roman"/>
                <w:sz w:val="8"/>
                <w:szCs w:val="8"/>
              </w:rPr>
            </w:pPr>
            <w:r>
              <w:rPr>
                <w:sz w:val="8"/>
                <w:szCs w:val="8"/>
              </w:rPr>
              <w:t> </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rFonts w:ascii="Times New Roman" w:hAnsi="Times New Roman"/>
                <w:sz w:val="8"/>
                <w:szCs w:val="8"/>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rFonts w:ascii="Times New Roman" w:hAnsi="Times New Roman"/>
                <w:sz w:val="8"/>
                <w:szCs w:val="8"/>
              </w:rPr>
            </w:pPr>
          </w:p>
        </w:tc>
      </w:tr>
      <w:tr w:rsidR="00072A04" w:rsidTr="00072A04">
        <w:trPr>
          <w:jc w:val="center"/>
        </w:trPr>
        <w:tc>
          <w:tcPr>
            <w:tcW w:w="1820" w:type="pct"/>
            <w:tcBorders>
              <w:top w:val="nil"/>
              <w:left w:val="single" w:sz="8" w:space="0" w:color="auto"/>
              <w:bottom w:val="single" w:sz="8" w:space="0" w:color="auto"/>
              <w:right w:val="single" w:sz="8" w:space="0" w:color="auto"/>
            </w:tcBorders>
            <w:shd w:val="clear" w:color="auto" w:fill="E5DFEC"/>
            <w:tcMar>
              <w:top w:w="0" w:type="dxa"/>
              <w:left w:w="108" w:type="dxa"/>
              <w:bottom w:w="0" w:type="dxa"/>
              <w:right w:w="108" w:type="dxa"/>
            </w:tcMar>
            <w:hideMark/>
          </w:tcPr>
          <w:p w:rsidR="00072A04" w:rsidRDefault="00072A04">
            <w:pPr>
              <w:spacing w:before="100" w:beforeAutospacing="1" w:after="100" w:afterAutospacing="1" w:line="240" w:lineRule="auto"/>
              <w:rPr>
                <w:b/>
                <w:bCs/>
                <w:sz w:val="16"/>
                <w:szCs w:val="16"/>
                <w:lang w:eastAsia="it-IT"/>
              </w:rPr>
            </w:pPr>
            <w:r>
              <w:rPr>
                <w:b/>
                <w:bCs/>
                <w:sz w:val="16"/>
                <w:szCs w:val="16"/>
                <w:lang w:eastAsia="it-IT"/>
              </w:rPr>
              <w:t>GOVERNO LETTA  (da fine aprile 2013)  (10 mesi)</w:t>
            </w:r>
          </w:p>
        </w:tc>
        <w:tc>
          <w:tcPr>
            <w:tcW w:w="707"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line="240" w:lineRule="auto"/>
              <w:rPr>
                <w:rFonts w:ascii="Century Gothic" w:hAnsi="Century Gothic"/>
                <w:sz w:val="16"/>
                <w:szCs w:val="16"/>
                <w:lang w:eastAsia="it-IT"/>
              </w:rPr>
            </w:pP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line="240" w:lineRule="auto"/>
              <w:ind w:right="-160"/>
              <w:rPr>
                <w:rFonts w:ascii="Century Gothic" w:hAnsi="Century Gothic"/>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sz w:val="16"/>
                <w:szCs w:val="16"/>
              </w:rPr>
            </w:pPr>
          </w:p>
        </w:tc>
      </w:tr>
      <w:tr w:rsidR="00072A04" w:rsidTr="00072A04">
        <w:trPr>
          <w:jc w:val="center"/>
        </w:trPr>
        <w:tc>
          <w:tcPr>
            <w:tcW w:w="1820" w:type="pct"/>
            <w:tcBorders>
              <w:top w:val="nil"/>
              <w:left w:val="single" w:sz="8" w:space="0" w:color="auto"/>
              <w:bottom w:val="single" w:sz="8" w:space="0" w:color="auto"/>
              <w:right w:val="single" w:sz="8" w:space="0" w:color="auto"/>
            </w:tcBorders>
            <w:shd w:val="clear" w:color="auto" w:fill="E5DFEC"/>
            <w:tcMar>
              <w:top w:w="0" w:type="dxa"/>
              <w:left w:w="108" w:type="dxa"/>
              <w:bottom w:w="0" w:type="dxa"/>
              <w:right w:w="108" w:type="dxa"/>
            </w:tcMar>
            <w:hideMark/>
          </w:tcPr>
          <w:p w:rsidR="00072A04" w:rsidRDefault="00072A04">
            <w:pPr>
              <w:spacing w:before="100" w:beforeAutospacing="1" w:after="100" w:afterAutospacing="1" w:line="240" w:lineRule="auto"/>
              <w:rPr>
                <w:b/>
                <w:bCs/>
                <w:sz w:val="16"/>
                <w:szCs w:val="16"/>
                <w:lang w:eastAsia="it-IT"/>
              </w:rPr>
            </w:pPr>
            <w:r>
              <w:rPr>
                <w:b/>
                <w:bCs/>
                <w:sz w:val="16"/>
                <w:szCs w:val="16"/>
                <w:lang w:eastAsia="it-IT"/>
              </w:rPr>
              <w:t>Debito aprile 2013</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line="240" w:lineRule="auto"/>
              <w:rPr>
                <w:rFonts w:ascii="Century Gothic" w:hAnsi="Century Gothic"/>
                <w:sz w:val="16"/>
                <w:szCs w:val="16"/>
                <w:lang w:eastAsia="it-IT"/>
              </w:rPr>
            </w:pPr>
            <w:r>
              <w:rPr>
                <w:rFonts w:ascii="Century Gothic" w:hAnsi="Century Gothic"/>
                <w:sz w:val="16"/>
                <w:szCs w:val="16"/>
                <w:lang w:eastAsia="it-IT"/>
              </w:rPr>
              <w:t>2.041,293</w:t>
            </w: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line="240" w:lineRule="auto"/>
              <w:ind w:right="-160"/>
              <w:jc w:val="center"/>
              <w:rPr>
                <w:rFonts w:ascii="Century Gothic" w:hAnsi="Century Gothic"/>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sz w:val="16"/>
                <w:szCs w:val="16"/>
              </w:rPr>
            </w:pPr>
          </w:p>
        </w:tc>
      </w:tr>
      <w:tr w:rsidR="00072A04" w:rsidTr="00072A04">
        <w:trPr>
          <w:jc w:val="center"/>
        </w:trPr>
        <w:tc>
          <w:tcPr>
            <w:tcW w:w="1820" w:type="pct"/>
            <w:tcBorders>
              <w:top w:val="nil"/>
              <w:left w:val="single" w:sz="8" w:space="0" w:color="auto"/>
              <w:bottom w:val="single" w:sz="8" w:space="0" w:color="auto"/>
              <w:right w:val="single" w:sz="8" w:space="0" w:color="auto"/>
            </w:tcBorders>
            <w:shd w:val="clear" w:color="auto" w:fill="E5DFEC"/>
            <w:tcMar>
              <w:top w:w="0" w:type="dxa"/>
              <w:left w:w="108" w:type="dxa"/>
              <w:bottom w:w="0" w:type="dxa"/>
              <w:right w:w="108" w:type="dxa"/>
            </w:tcMar>
            <w:hideMark/>
          </w:tcPr>
          <w:p w:rsidR="00072A04" w:rsidRDefault="00072A04">
            <w:pPr>
              <w:spacing w:before="100" w:beforeAutospacing="1" w:after="100" w:afterAutospacing="1" w:line="240" w:lineRule="auto"/>
              <w:rPr>
                <w:b/>
                <w:bCs/>
                <w:sz w:val="16"/>
                <w:szCs w:val="16"/>
                <w:lang w:eastAsia="it-IT"/>
              </w:rPr>
            </w:pPr>
            <w:r>
              <w:rPr>
                <w:b/>
                <w:bCs/>
                <w:sz w:val="16"/>
                <w:szCs w:val="16"/>
                <w:lang w:eastAsia="it-IT"/>
              </w:rPr>
              <w:t>Debito Febbraio 2014</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line="240" w:lineRule="auto"/>
              <w:rPr>
                <w:rFonts w:ascii="Century Gothic" w:hAnsi="Century Gothic"/>
                <w:sz w:val="16"/>
                <w:szCs w:val="16"/>
                <w:lang w:eastAsia="it-IT"/>
              </w:rPr>
            </w:pPr>
            <w:r>
              <w:rPr>
                <w:rFonts w:ascii="Century Gothic" w:hAnsi="Century Gothic"/>
                <w:sz w:val="16"/>
                <w:szCs w:val="16"/>
                <w:lang w:eastAsia="it-IT"/>
              </w:rPr>
              <w:t>2.107,157</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line="240" w:lineRule="auto"/>
              <w:ind w:right="-160"/>
              <w:rPr>
                <w:rFonts w:ascii="Century Gothic" w:hAnsi="Century Gothic"/>
                <w:sz w:val="16"/>
                <w:szCs w:val="16"/>
                <w:lang w:eastAsia="it-IT"/>
              </w:rPr>
            </w:pPr>
            <w:r>
              <w:rPr>
                <w:rFonts w:ascii="Century Gothic" w:hAnsi="Century Gothic"/>
                <w:sz w:val="16"/>
                <w:szCs w:val="16"/>
                <w:lang w:eastAsia="it-IT"/>
              </w:rPr>
              <w:t xml:space="preserve">+ 65,864 mld </w:t>
            </w:r>
            <w:r>
              <w:rPr>
                <w:rFonts w:ascii="Century Gothic" w:hAnsi="Century Gothic"/>
                <w:b/>
                <w:bCs/>
                <w:sz w:val="16"/>
                <w:szCs w:val="16"/>
                <w:lang w:eastAsia="it-IT"/>
              </w:rPr>
              <w:t>(6,5  mld/mese)</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jc w:val="right"/>
              <w:rPr>
                <w:sz w:val="16"/>
                <w:szCs w:val="16"/>
              </w:rPr>
            </w:pPr>
            <w:r>
              <w:rPr>
                <w:sz w:val="16"/>
                <w:szCs w:val="16"/>
              </w:rPr>
              <w:t>35.354</w:t>
            </w:r>
          </w:p>
        </w:tc>
        <w:tc>
          <w:tcPr>
            <w:tcW w:w="592"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jc w:val="right"/>
              <w:rPr>
                <w:sz w:val="16"/>
                <w:szCs w:val="16"/>
              </w:rPr>
            </w:pPr>
            <w:r>
              <w:rPr>
                <w:sz w:val="16"/>
                <w:szCs w:val="16"/>
              </w:rPr>
              <w:t>+ 1.105</w:t>
            </w:r>
          </w:p>
        </w:tc>
      </w:tr>
      <w:tr w:rsidR="00072A04" w:rsidTr="00072A04">
        <w:trPr>
          <w:jc w:val="center"/>
        </w:trPr>
        <w:tc>
          <w:tcPr>
            <w:tcW w:w="182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072A04" w:rsidRDefault="00072A04">
            <w:pPr>
              <w:spacing w:before="100" w:beforeAutospacing="1" w:after="100" w:afterAutospacing="1" w:line="240" w:lineRule="auto"/>
              <w:rPr>
                <w:b/>
                <w:bCs/>
                <w:sz w:val="8"/>
                <w:szCs w:val="8"/>
                <w:lang w:eastAsia="it-IT"/>
              </w:rPr>
            </w:pPr>
          </w:p>
        </w:tc>
        <w:tc>
          <w:tcPr>
            <w:tcW w:w="7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072A04" w:rsidRDefault="00072A04">
            <w:pPr>
              <w:spacing w:before="100" w:beforeAutospacing="1" w:after="100" w:afterAutospacing="1" w:line="240" w:lineRule="auto"/>
              <w:rPr>
                <w:rFonts w:ascii="Century Gothic" w:hAnsi="Century Gothic"/>
                <w:sz w:val="8"/>
                <w:szCs w:val="8"/>
                <w:lang w:eastAsia="it-IT"/>
              </w:rPr>
            </w:pPr>
          </w:p>
        </w:tc>
        <w:tc>
          <w:tcPr>
            <w:tcW w:w="121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072A04" w:rsidRDefault="00072A04">
            <w:pPr>
              <w:spacing w:before="100" w:beforeAutospacing="1" w:after="100" w:afterAutospacing="1" w:line="240" w:lineRule="auto"/>
              <w:ind w:right="-160"/>
              <w:rPr>
                <w:rFonts w:ascii="Century Gothic" w:hAnsi="Century Gothic"/>
                <w:sz w:val="8"/>
                <w:szCs w:val="8"/>
                <w:lang w:eastAsia="it-IT"/>
              </w:rPr>
            </w:pPr>
          </w:p>
        </w:tc>
        <w:tc>
          <w:tcPr>
            <w:tcW w:w="6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072A04" w:rsidRDefault="00072A04">
            <w:pPr>
              <w:spacing w:before="100" w:beforeAutospacing="1" w:after="100" w:afterAutospacing="1"/>
              <w:jc w:val="right"/>
              <w:rPr>
                <w:sz w:val="8"/>
                <w:szCs w:val="8"/>
              </w:rPr>
            </w:pPr>
          </w:p>
        </w:tc>
        <w:tc>
          <w:tcPr>
            <w:tcW w:w="5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072A04" w:rsidRDefault="00072A04">
            <w:pPr>
              <w:spacing w:before="100" w:beforeAutospacing="1" w:after="100" w:afterAutospacing="1"/>
              <w:jc w:val="right"/>
              <w:rPr>
                <w:sz w:val="8"/>
                <w:szCs w:val="8"/>
              </w:rPr>
            </w:pPr>
          </w:p>
        </w:tc>
      </w:tr>
      <w:tr w:rsidR="00072A04" w:rsidTr="00072A04">
        <w:trPr>
          <w:jc w:val="center"/>
        </w:trPr>
        <w:tc>
          <w:tcPr>
            <w:tcW w:w="1820" w:type="pct"/>
            <w:tcBorders>
              <w:top w:val="nil"/>
              <w:left w:val="single" w:sz="8" w:space="0" w:color="auto"/>
              <w:bottom w:val="single" w:sz="8" w:space="0" w:color="auto"/>
              <w:right w:val="single" w:sz="8" w:space="0" w:color="auto"/>
            </w:tcBorders>
            <w:shd w:val="clear" w:color="auto" w:fill="FDE9D9"/>
            <w:tcMar>
              <w:top w:w="0" w:type="dxa"/>
              <w:left w:w="108" w:type="dxa"/>
              <w:bottom w:w="0" w:type="dxa"/>
              <w:right w:w="108" w:type="dxa"/>
            </w:tcMar>
            <w:hideMark/>
          </w:tcPr>
          <w:p w:rsidR="00072A04" w:rsidRDefault="00072A04">
            <w:pPr>
              <w:spacing w:before="100" w:beforeAutospacing="1" w:after="100" w:afterAutospacing="1" w:line="240" w:lineRule="auto"/>
              <w:rPr>
                <w:b/>
                <w:bCs/>
                <w:sz w:val="16"/>
                <w:szCs w:val="16"/>
                <w:lang w:eastAsia="it-IT"/>
              </w:rPr>
            </w:pPr>
            <w:r>
              <w:rPr>
                <w:b/>
                <w:bCs/>
                <w:sz w:val="16"/>
                <w:szCs w:val="16"/>
                <w:lang w:eastAsia="it-IT"/>
              </w:rPr>
              <w:t>GOVERNO RENZI (da fine febbraio 2014) (5 mesi)</w:t>
            </w:r>
          </w:p>
        </w:tc>
        <w:tc>
          <w:tcPr>
            <w:tcW w:w="707"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line="240" w:lineRule="auto"/>
              <w:rPr>
                <w:rFonts w:ascii="Century Gothic" w:hAnsi="Century Gothic"/>
                <w:sz w:val="16"/>
                <w:szCs w:val="16"/>
                <w:lang w:eastAsia="it-IT"/>
              </w:rPr>
            </w:pP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line="240" w:lineRule="auto"/>
              <w:ind w:right="-160"/>
              <w:rPr>
                <w:rFonts w:ascii="Century Gothic" w:hAnsi="Century Gothic"/>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sz w:val="16"/>
                <w:szCs w:val="16"/>
              </w:rPr>
            </w:pPr>
          </w:p>
        </w:tc>
      </w:tr>
      <w:tr w:rsidR="00072A04" w:rsidTr="00072A04">
        <w:trPr>
          <w:jc w:val="center"/>
        </w:trPr>
        <w:tc>
          <w:tcPr>
            <w:tcW w:w="1820" w:type="pct"/>
            <w:tcBorders>
              <w:top w:val="nil"/>
              <w:left w:val="single" w:sz="8" w:space="0" w:color="auto"/>
              <w:bottom w:val="single" w:sz="8" w:space="0" w:color="auto"/>
              <w:right w:val="single" w:sz="8" w:space="0" w:color="auto"/>
            </w:tcBorders>
            <w:shd w:val="clear" w:color="auto" w:fill="FDE9D9"/>
            <w:tcMar>
              <w:top w:w="0" w:type="dxa"/>
              <w:left w:w="108" w:type="dxa"/>
              <w:bottom w:w="0" w:type="dxa"/>
              <w:right w:w="108" w:type="dxa"/>
            </w:tcMar>
            <w:hideMark/>
          </w:tcPr>
          <w:p w:rsidR="00072A04" w:rsidRDefault="00072A04">
            <w:pPr>
              <w:spacing w:before="100" w:beforeAutospacing="1" w:after="100" w:afterAutospacing="1" w:line="240" w:lineRule="auto"/>
              <w:rPr>
                <w:b/>
                <w:bCs/>
                <w:sz w:val="16"/>
                <w:szCs w:val="16"/>
                <w:lang w:eastAsia="it-IT"/>
              </w:rPr>
            </w:pPr>
            <w:r>
              <w:rPr>
                <w:b/>
                <w:bCs/>
                <w:sz w:val="16"/>
                <w:szCs w:val="16"/>
                <w:lang w:eastAsia="it-IT"/>
              </w:rPr>
              <w:t>Debito febbraio 2014</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line="240" w:lineRule="auto"/>
              <w:rPr>
                <w:rFonts w:ascii="Century Gothic" w:hAnsi="Century Gothic"/>
                <w:sz w:val="16"/>
                <w:szCs w:val="16"/>
                <w:lang w:eastAsia="it-IT"/>
              </w:rPr>
            </w:pPr>
            <w:r>
              <w:rPr>
                <w:rFonts w:ascii="Century Gothic" w:hAnsi="Century Gothic"/>
                <w:sz w:val="16"/>
                <w:szCs w:val="16"/>
                <w:lang w:eastAsia="it-IT"/>
              </w:rPr>
              <w:t>2.107,157</w:t>
            </w: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line="240" w:lineRule="auto"/>
              <w:ind w:right="-160"/>
              <w:rPr>
                <w:rFonts w:ascii="Century Gothic" w:hAnsi="Century Gothic"/>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072A04" w:rsidRDefault="00072A04">
            <w:pPr>
              <w:spacing w:before="100" w:beforeAutospacing="1" w:after="100" w:afterAutospacing="1"/>
              <w:jc w:val="right"/>
              <w:rPr>
                <w:sz w:val="16"/>
                <w:szCs w:val="16"/>
              </w:rPr>
            </w:pPr>
          </w:p>
        </w:tc>
      </w:tr>
      <w:tr w:rsidR="00072A04" w:rsidTr="00072A04">
        <w:trPr>
          <w:jc w:val="center"/>
        </w:trPr>
        <w:tc>
          <w:tcPr>
            <w:tcW w:w="1820" w:type="pct"/>
            <w:tcBorders>
              <w:top w:val="nil"/>
              <w:left w:val="single" w:sz="8" w:space="0" w:color="auto"/>
              <w:bottom w:val="single" w:sz="8" w:space="0" w:color="auto"/>
              <w:right w:val="single" w:sz="8" w:space="0" w:color="auto"/>
            </w:tcBorders>
            <w:shd w:val="clear" w:color="auto" w:fill="FDE9D9"/>
            <w:tcMar>
              <w:top w:w="0" w:type="dxa"/>
              <w:left w:w="108" w:type="dxa"/>
              <w:bottom w:w="0" w:type="dxa"/>
              <w:right w:w="108" w:type="dxa"/>
            </w:tcMar>
            <w:hideMark/>
          </w:tcPr>
          <w:p w:rsidR="00072A04" w:rsidRDefault="00072A04">
            <w:pPr>
              <w:spacing w:before="100" w:beforeAutospacing="1" w:after="100" w:afterAutospacing="1" w:line="240" w:lineRule="auto"/>
              <w:rPr>
                <w:b/>
                <w:bCs/>
                <w:sz w:val="16"/>
                <w:szCs w:val="16"/>
                <w:lang w:eastAsia="it-IT"/>
              </w:rPr>
            </w:pPr>
            <w:r>
              <w:rPr>
                <w:b/>
                <w:bCs/>
                <w:sz w:val="16"/>
                <w:szCs w:val="16"/>
                <w:lang w:eastAsia="it-IT"/>
              </w:rPr>
              <w:t>Debito luglio 2014</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line="240" w:lineRule="auto"/>
              <w:rPr>
                <w:rFonts w:ascii="Century Gothic" w:hAnsi="Century Gothic"/>
                <w:sz w:val="16"/>
                <w:szCs w:val="16"/>
                <w:lang w:eastAsia="it-IT"/>
              </w:rPr>
            </w:pPr>
            <w:r>
              <w:rPr>
                <w:rFonts w:ascii="Century Gothic" w:hAnsi="Century Gothic"/>
                <w:sz w:val="16"/>
                <w:szCs w:val="16"/>
                <w:lang w:eastAsia="it-IT"/>
              </w:rPr>
              <w:t>2.168,600</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line="240" w:lineRule="auto"/>
              <w:ind w:right="-160"/>
              <w:rPr>
                <w:rFonts w:ascii="Century Gothic" w:hAnsi="Century Gothic"/>
                <w:sz w:val="16"/>
                <w:szCs w:val="16"/>
                <w:lang w:eastAsia="it-IT"/>
              </w:rPr>
            </w:pPr>
            <w:r>
              <w:rPr>
                <w:rFonts w:ascii="Century Gothic" w:hAnsi="Century Gothic"/>
                <w:sz w:val="16"/>
                <w:szCs w:val="16"/>
                <w:lang w:eastAsia="it-IT"/>
              </w:rPr>
              <w:t xml:space="preserve">+ 61,443 </w:t>
            </w:r>
            <w:r>
              <w:rPr>
                <w:rFonts w:ascii="Century Gothic" w:hAnsi="Century Gothic"/>
                <w:b/>
                <w:bCs/>
                <w:sz w:val="16"/>
                <w:szCs w:val="16"/>
                <w:lang w:eastAsia="it-IT"/>
              </w:rPr>
              <w:t>(12,3 mld/mese)</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jc w:val="right"/>
              <w:rPr>
                <w:sz w:val="16"/>
                <w:szCs w:val="16"/>
              </w:rPr>
            </w:pPr>
            <w:r>
              <w:rPr>
                <w:sz w:val="16"/>
                <w:szCs w:val="16"/>
              </w:rPr>
              <w:t>36.386</w:t>
            </w:r>
          </w:p>
        </w:tc>
        <w:tc>
          <w:tcPr>
            <w:tcW w:w="592" w:type="pct"/>
            <w:tcBorders>
              <w:top w:val="nil"/>
              <w:left w:val="nil"/>
              <w:bottom w:val="single" w:sz="8" w:space="0" w:color="auto"/>
              <w:right w:val="single" w:sz="8" w:space="0" w:color="auto"/>
            </w:tcBorders>
            <w:tcMar>
              <w:top w:w="0" w:type="dxa"/>
              <w:left w:w="108" w:type="dxa"/>
              <w:bottom w:w="0" w:type="dxa"/>
              <w:right w:w="108" w:type="dxa"/>
            </w:tcMar>
            <w:hideMark/>
          </w:tcPr>
          <w:p w:rsidR="00072A04" w:rsidRDefault="00072A04">
            <w:pPr>
              <w:spacing w:before="100" w:beforeAutospacing="1" w:after="100" w:afterAutospacing="1"/>
              <w:jc w:val="right"/>
              <w:rPr>
                <w:sz w:val="16"/>
                <w:szCs w:val="16"/>
              </w:rPr>
            </w:pPr>
            <w:r>
              <w:rPr>
                <w:sz w:val="16"/>
                <w:szCs w:val="16"/>
              </w:rPr>
              <w:t>+ 1.030</w:t>
            </w:r>
          </w:p>
        </w:tc>
      </w:tr>
    </w:tbl>
    <w:p w:rsidR="00072A04" w:rsidRDefault="00072A04" w:rsidP="00072A04">
      <w:pPr>
        <w:jc w:val="both"/>
      </w:pPr>
    </w:p>
    <w:p w:rsidR="00072A04" w:rsidRDefault="00072A04" w:rsidP="00072A04">
      <w:pPr>
        <w:jc w:val="both"/>
      </w:pPr>
      <w:r>
        <w:t xml:space="preserve">   Poiché il debito continuerà a crescere con la stagnazione ed il </w:t>
      </w:r>
      <w:proofErr w:type="spellStart"/>
      <w:r>
        <w:t>Pil</w:t>
      </w:r>
      <w:proofErr w:type="spellEnd"/>
      <w:r>
        <w:t xml:space="preserve"> che continuerà a scendere, per poter iniziare  la sua minima riduzione, il  capo del Governo Matteo  Renzi, spavaldo decisionista su temi meno urgenti  infrangendo un tabù da Sacro Graal avrebbe il dovere di imporre alla Bce ed a Mario Draghi, la vendita di oro e riserve, che non sono di Bankitalia ma del popolo italiano, il cui valore pari a circa 130 miliardi, potrebbe essere utilizzato in parte per la riduzione, in parte per investimenti su ricerca, innovazione, tecnologia, settori che potrebbero rimettere in moto l’economia.</w:t>
      </w:r>
    </w:p>
    <w:p w:rsidR="00072A04" w:rsidRDefault="00072A04" w:rsidP="00072A04">
      <w:r>
        <w:t xml:space="preserve">                                                                                 Elio Lannutti (Adusbef) - Rosario </w:t>
      </w:r>
      <w:proofErr w:type="spellStart"/>
      <w:r>
        <w:t>Trefiletti</w:t>
      </w:r>
      <w:proofErr w:type="spellEnd"/>
      <w:r>
        <w:t xml:space="preserve"> (Federconsumatori)</w:t>
      </w:r>
    </w:p>
    <w:p w:rsidR="00072A04" w:rsidRDefault="00072A04" w:rsidP="00072A04">
      <w:r>
        <w:t>Roma, 12.9.2014</w:t>
      </w:r>
    </w:p>
    <w:p w:rsidR="00C200C3" w:rsidRDefault="00C200C3">
      <w:bookmarkStart w:id="0" w:name="_GoBack"/>
      <w:bookmarkEnd w:id="0"/>
    </w:p>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A04"/>
    <w:rsid w:val="00072A04"/>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2A04"/>
    <w:pPr>
      <w:spacing w:before="0" w:after="200" w:line="276" w:lineRule="auto"/>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jc w:val="both"/>
    </w:pPr>
    <w:rPr>
      <w:rFonts w:ascii="Century Gothic" w:hAnsi="Century Gothic"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before="120" w:after="120" w:line="240" w:lineRule="auto"/>
      <w:ind w:left="720"/>
      <w:jc w:val="both"/>
    </w:pPr>
    <w:rPr>
      <w:rFonts w:ascii="Century Gothic" w:hAnsi="Century Gothic"/>
      <w:color w:val="17365D" w:themeColor="text2" w:themeShade="BF"/>
      <w:sz w:val="24"/>
      <w:szCs w:val="24"/>
      <w:lang w:eastAsia="it-IT"/>
    </w:rPr>
  </w:style>
  <w:style w:type="paragraph" w:customStyle="1" w:styleId="msolistparagraphcxspmiddle">
    <w:name w:val="msolistparagraphcxspmiddle"/>
    <w:basedOn w:val="Normale"/>
    <w:uiPriority w:val="99"/>
    <w:semiHidden/>
    <w:rsid w:val="00130235"/>
    <w:pPr>
      <w:spacing w:before="120" w:after="120" w:line="240" w:lineRule="auto"/>
      <w:ind w:left="720"/>
      <w:jc w:val="both"/>
    </w:pPr>
    <w:rPr>
      <w:rFonts w:ascii="Century Gothic" w:hAnsi="Century Gothic"/>
      <w:color w:val="17365D" w:themeColor="text2" w:themeShade="BF"/>
      <w:sz w:val="24"/>
      <w:szCs w:val="24"/>
      <w:lang w:eastAsia="it-IT"/>
    </w:r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jc w:val="both"/>
    </w:pPr>
    <w:rPr>
      <w:rFonts w:ascii="Century Gothic" w:hAnsi="Century Gothic"/>
      <w:color w:val="17365D" w:themeColor="text2" w:themeShade="BF"/>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2A04"/>
    <w:pPr>
      <w:spacing w:before="0" w:after="200" w:line="276" w:lineRule="auto"/>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jc w:val="both"/>
    </w:pPr>
    <w:rPr>
      <w:rFonts w:ascii="Century Gothic" w:hAnsi="Century Gothic"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before="120" w:after="120" w:line="240" w:lineRule="auto"/>
      <w:ind w:left="720"/>
      <w:jc w:val="both"/>
    </w:pPr>
    <w:rPr>
      <w:rFonts w:ascii="Century Gothic" w:hAnsi="Century Gothic"/>
      <w:color w:val="17365D" w:themeColor="text2" w:themeShade="BF"/>
      <w:sz w:val="24"/>
      <w:szCs w:val="24"/>
      <w:lang w:eastAsia="it-IT"/>
    </w:rPr>
  </w:style>
  <w:style w:type="paragraph" w:customStyle="1" w:styleId="msolistparagraphcxspmiddle">
    <w:name w:val="msolistparagraphcxspmiddle"/>
    <w:basedOn w:val="Normale"/>
    <w:uiPriority w:val="99"/>
    <w:semiHidden/>
    <w:rsid w:val="00130235"/>
    <w:pPr>
      <w:spacing w:before="120" w:after="120" w:line="240" w:lineRule="auto"/>
      <w:ind w:left="720"/>
      <w:jc w:val="both"/>
    </w:pPr>
    <w:rPr>
      <w:rFonts w:ascii="Century Gothic" w:hAnsi="Century Gothic"/>
      <w:color w:val="17365D" w:themeColor="text2" w:themeShade="BF"/>
      <w:sz w:val="24"/>
      <w:szCs w:val="24"/>
      <w:lang w:eastAsia="it-IT"/>
    </w:r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jc w:val="both"/>
    </w:pPr>
    <w:rPr>
      <w:rFonts w:ascii="Century Gothic" w:hAnsi="Century Gothic"/>
      <w:color w:val="17365D" w:themeColor="text2" w:themeShade="BF"/>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95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2086</Characters>
  <Application>Microsoft Office Word</Application>
  <DocSecurity>0</DocSecurity>
  <Lines>17</Lines>
  <Paragraphs>4</Paragraphs>
  <ScaleCrop>false</ScaleCrop>
  <Company/>
  <LinksUpToDate>false</LinksUpToDate>
  <CharactersWithSpaces>2447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2014-09-12T10:25:00Z</dcterms:created>
  <dcterms:modified xsi:type="dcterms:W3CDTF">2014-09-12T10:26:00Z</dcterms:modified>
</cp:coreProperties>
</file>