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4008" w:rsidRDefault="00AC4008" w:rsidP="00AC4008">
      <w:pPr>
        <w:shd w:val="clear" w:color="auto" w:fill="FFFFFF"/>
        <w:spacing w:after="0" w:line="270" w:lineRule="atLeast"/>
        <w:jc w:val="center"/>
        <w:rPr>
          <w:rFonts w:ascii="Arial" w:hAnsi="Arial" w:cs="Arial"/>
          <w:b/>
          <w:bCs/>
          <w:color w:val="333333"/>
          <w:sz w:val="20"/>
          <w:szCs w:val="20"/>
          <w:lang w:eastAsia="it-IT"/>
        </w:rPr>
      </w:pPr>
      <w:r>
        <w:rPr>
          <w:rFonts w:ascii="Arial" w:hAnsi="Arial" w:cs="Arial"/>
          <w:b/>
          <w:bCs/>
          <w:color w:val="333333"/>
          <w:sz w:val="20"/>
          <w:szCs w:val="20"/>
          <w:lang w:eastAsia="it-IT"/>
        </w:rPr>
        <w:t>COMUNICATO STAMPA</w:t>
      </w:r>
    </w:p>
    <w:p w:rsidR="00AC4008" w:rsidRDefault="00AC4008" w:rsidP="00AC4008">
      <w:pPr>
        <w:shd w:val="clear" w:color="auto" w:fill="FFFFFF"/>
        <w:spacing w:after="0" w:line="270" w:lineRule="atLeast"/>
        <w:rPr>
          <w:rFonts w:ascii="Arial" w:hAnsi="Arial" w:cs="Arial"/>
          <w:b/>
          <w:bCs/>
          <w:color w:val="333333"/>
          <w:sz w:val="20"/>
          <w:szCs w:val="20"/>
          <w:lang w:eastAsia="it-IT"/>
        </w:rPr>
      </w:pPr>
    </w:p>
    <w:p w:rsidR="00AC4008" w:rsidRDefault="00AC4008" w:rsidP="00AC4008">
      <w:pPr>
        <w:pStyle w:val="Nessunaspaziatura"/>
        <w:ind w:left="0"/>
        <w:rPr>
          <w:rFonts w:ascii="Calibri" w:hAnsi="Calibri"/>
          <w:color w:val="auto"/>
          <w:sz w:val="22"/>
          <w:szCs w:val="22"/>
        </w:rPr>
      </w:pPr>
      <w:r>
        <w:t>RISPARMIO:  I GOVERNI DELLE BANCHE, DOPO LE MISURE FISCALI FAVOREVOLI AI BANCHIERI; IL REGALO DI 7,5 MILIARDI DA RIVALUTAZIONE QUOTE BANKITALIA; LA REINTRODUZIONE DELL’ANATOCISMO, CONTINUANO A  STANGARE LE FAMIGLIE CON  MAXI PATRIMONIALE SUL RISPARMIO, PRELEVANDO  TASCHE UTENTI E RISPARMIATORI 8 MILIARDI L’ANNO (5,284 IMPOSTE BOLLI, 2,8 MILIARDI  AUMENTO ALIQUOTE FISCALI SU RENDITE FINANZIARIE).</w:t>
      </w:r>
    </w:p>
    <w:p w:rsidR="00AC4008" w:rsidRDefault="00AC4008" w:rsidP="00AC4008">
      <w:pPr>
        <w:pStyle w:val="Nessunaspaziatura"/>
        <w:ind w:left="0"/>
      </w:pPr>
      <w:r>
        <w:t xml:space="preserve">   </w:t>
      </w:r>
    </w:p>
    <w:p w:rsidR="00AC4008" w:rsidRDefault="00AC4008" w:rsidP="00AC4008">
      <w:pPr>
        <w:pStyle w:val="Nessunaspaziatura"/>
        <w:ind w:left="0"/>
      </w:pPr>
      <w:r>
        <w:t>   Da domani 1 luglio 2014 entra in vigore ulteriore stangata sul risparmio coi rincari (+ 30%) dal 20 al 26% sui proventi finanziari degli italiani, ennesima ‘mini-patrimoniale del governo Renzi’, che si aggiunge ai tre i precedenti (Letta, Monti, Berlusconi), generando così una maxi patrimoniale da 8 miliardi di euro l’anno.</w:t>
      </w:r>
    </w:p>
    <w:p w:rsidR="00AC4008" w:rsidRDefault="00AC4008" w:rsidP="00AC4008">
      <w:pPr>
        <w:pStyle w:val="Nessunaspaziatura"/>
        <w:ind w:left="0"/>
      </w:pPr>
      <w:r>
        <w:t>    Nell’estate del 2011 iniziò Berlusconi moltiplicando il costo dei bolli sui conti correnti;  nel gennaio 2012 il governo Monti alzò le aliquote dal 12,5 al 20% sul risparmio; nel gennaio 2014 il governo Letta aumentò ancora i bolli, dallo 0,15 allo 0,20%, una vera e propria ‘maxi patrimoniale mascherata’ sul risparmio, che produrrà un gettito di circa 10 miliardi di euro l’anno.</w:t>
      </w:r>
    </w:p>
    <w:p w:rsidR="00AC4008" w:rsidRDefault="00AC4008" w:rsidP="00AC4008">
      <w:pPr>
        <w:pStyle w:val="Nessunaspaziatura"/>
        <w:ind w:left="0"/>
      </w:pPr>
      <w:r>
        <w:t>        L'imposta del bollo sui risparmi, passata da una "mini-patrimoniale" quando è entrata in vigore nel 2012, ad una “maxi patrimoniale” con l’aumento previsto del 100% dal 1 gennaio 2014, dopo che nel 2013 ha subito aumenti di aliquote del 50% e senza tetti massimi, che erano di 1.200 euro, porterà nelle casse dello stato circa 3,6 miliardi di euro l’anno, oltre ai bolli sui conti correnti che daranno un gettito di 1,684 miliardi di euro a carico di correntisti e risparmiatori, già spremuti e vessati dalle banche. L'aumento non dovrebbe riguardare i conti correnti, che non rientrano tra gli "strumenti finanziari", per i quali resta l'imposta fissa a 34,20 euro l'anno, con l’esenzione dei conti con giacenze medie inferiori a 5.000 euro.</w:t>
      </w:r>
    </w:p>
    <w:p w:rsidR="00AC4008" w:rsidRDefault="00AC4008" w:rsidP="00AC4008">
      <w:pPr>
        <w:pStyle w:val="Nessunaspaziatura"/>
        <w:ind w:left="0"/>
      </w:pPr>
      <w:r>
        <w:t>   A pagare il conto famiglie, risparmiatori, contribuenti e correntisti, costretti a subire costi dei conti correnti pari ad una media di 372 euro l’anno, contro 114 euro della media Ue, i quali oltre a versare ben 5,284 miliardi di euro per avere un conto corrente o una custodia titoli, subiranno ulteriori stangate anche dall’ammortizzazione dei crediti inesigibili svalutati, i cui costi di pulizia di bilancio  ammontano a 19,8 miliardi di euro (Fonte Mediobanca),sicuramente scaricati sui clienti.</w:t>
      </w:r>
    </w:p>
    <w:p w:rsidR="00AC4008" w:rsidRDefault="00AC4008" w:rsidP="00AC4008">
      <w:pPr>
        <w:pStyle w:val="Nessunaspaziatura"/>
        <w:ind w:left="0"/>
      </w:pPr>
      <w:r>
        <w:t>    In soli 12 mesi, correntisti e risparmiatori, che avevano già subito un raddoppio secco dell’aliquota sull’imposta di bollo gestione titoli, che passando dall’1 per mille in vigore al 31 dicembre 2012,all’1,5 del 2013, al 2 per mille dal 1 gennaio 2014, produrrà un gettito di 900 milioni in più, mentre i proventi previsti dall’aumento dell’aliquota dal 20 al 26% possono essere stimati in 2,8 miliardi di euro l’anno.</w:t>
      </w:r>
    </w:p>
    <w:p w:rsidR="00656CF2" w:rsidRDefault="00656CF2" w:rsidP="00AC4008">
      <w:pPr>
        <w:pStyle w:val="Nessunaspaziatura"/>
        <w:ind w:left="0"/>
      </w:pPr>
      <w:bookmarkStart w:id="0" w:name="_GoBack"/>
      <w:bookmarkEnd w:id="0"/>
    </w:p>
    <w:p w:rsidR="00656CF2" w:rsidRDefault="00656CF2" w:rsidP="00AC4008">
      <w:pPr>
        <w:pStyle w:val="Nessunaspaziatura"/>
        <w:ind w:left="0"/>
      </w:pPr>
    </w:p>
    <w:p w:rsidR="00AC4008" w:rsidRDefault="00AC4008" w:rsidP="00AC4008">
      <w:pPr>
        <w:shd w:val="clear" w:color="auto" w:fill="FFFFFF"/>
        <w:spacing w:after="0" w:line="270" w:lineRule="atLeast"/>
        <w:rPr>
          <w:rFonts w:ascii="Arial" w:hAnsi="Arial" w:cs="Arial"/>
          <w:b/>
          <w:bCs/>
          <w:color w:val="333333"/>
          <w:sz w:val="20"/>
          <w:szCs w:val="20"/>
          <w:lang w:eastAsia="it-IT"/>
        </w:rPr>
      </w:pPr>
      <w:r>
        <w:rPr>
          <w:rFonts w:ascii="Arial" w:hAnsi="Arial" w:cs="Arial"/>
          <w:b/>
          <w:bCs/>
          <w:color w:val="333333"/>
          <w:sz w:val="20"/>
          <w:szCs w:val="20"/>
          <w:lang w:eastAsia="it-IT"/>
        </w:rPr>
        <w:t>Ecco cosa cambia a partire dal 1 gennaio e dal 1 luglio 2014 per le diverse forma di risparmio:</w:t>
      </w:r>
      <w:r>
        <w:rPr>
          <w:rFonts w:ascii="Arial" w:hAnsi="Arial" w:cs="Arial"/>
          <w:b/>
          <w:bCs/>
          <w:color w:val="333333"/>
          <w:sz w:val="20"/>
          <w:szCs w:val="20"/>
          <w:lang w:eastAsia="it-IT"/>
        </w:rPr>
        <w:br/>
        <w:t> </w:t>
      </w:r>
    </w:p>
    <w:tbl>
      <w:tblPr>
        <w:tblW w:w="5000" w:type="pct"/>
        <w:tblCellSpacing w:w="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84"/>
        <w:gridCol w:w="1286"/>
        <w:gridCol w:w="1705"/>
        <w:gridCol w:w="1705"/>
        <w:gridCol w:w="1942"/>
      </w:tblGrid>
      <w:tr w:rsidR="00AC4008" w:rsidTr="00AC4008">
        <w:trPr>
          <w:tblCellSpacing w:w="6" w:type="dxa"/>
        </w:trPr>
        <w:tc>
          <w:tcPr>
            <w:tcW w:w="1582"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AC4008" w:rsidRDefault="00AC4008">
            <w:pPr>
              <w:spacing w:after="0" w:line="240" w:lineRule="auto"/>
              <w:jc w:val="both"/>
              <w:rPr>
                <w:rFonts w:ascii="Arial" w:hAnsi="Arial" w:cs="Arial"/>
                <w:color w:val="333333"/>
                <w:sz w:val="20"/>
                <w:szCs w:val="20"/>
              </w:rPr>
            </w:pPr>
            <w:r>
              <w:rPr>
                <w:rFonts w:ascii="Arial" w:hAnsi="Arial" w:cs="Arial"/>
                <w:color w:val="333333"/>
                <w:sz w:val="20"/>
                <w:szCs w:val="20"/>
              </w:rPr>
              <w:lastRenderedPageBreak/>
              <w:t> </w:t>
            </w:r>
          </w:p>
        </w:tc>
        <w:tc>
          <w:tcPr>
            <w:tcW w:w="657"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AC4008" w:rsidRDefault="00AC4008">
            <w:pPr>
              <w:spacing w:after="0" w:line="240" w:lineRule="auto"/>
              <w:jc w:val="center"/>
              <w:rPr>
                <w:rFonts w:ascii="Arial" w:hAnsi="Arial" w:cs="Arial"/>
                <w:color w:val="333333"/>
                <w:sz w:val="20"/>
                <w:szCs w:val="20"/>
              </w:rPr>
            </w:pPr>
          </w:p>
          <w:p w:rsidR="00AC4008" w:rsidRDefault="00AC4008">
            <w:pPr>
              <w:spacing w:after="0" w:line="240" w:lineRule="auto"/>
              <w:jc w:val="center"/>
              <w:rPr>
                <w:rFonts w:ascii="Arial" w:hAnsi="Arial" w:cs="Arial"/>
                <w:color w:val="333333"/>
                <w:sz w:val="20"/>
                <w:szCs w:val="20"/>
              </w:rPr>
            </w:pPr>
            <w:r>
              <w:rPr>
                <w:rFonts w:ascii="Arial" w:hAnsi="Arial" w:cs="Arial"/>
                <w:color w:val="333333"/>
                <w:sz w:val="20"/>
                <w:szCs w:val="20"/>
              </w:rPr>
              <w:t>2012</w:t>
            </w:r>
          </w:p>
        </w:tc>
        <w:tc>
          <w:tcPr>
            <w:tcW w:w="873"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AC4008" w:rsidRDefault="00AC4008">
            <w:pPr>
              <w:spacing w:after="0" w:line="240" w:lineRule="auto"/>
              <w:jc w:val="center"/>
              <w:rPr>
                <w:rFonts w:ascii="Arial" w:hAnsi="Arial" w:cs="Arial"/>
                <w:b/>
                <w:bCs/>
                <w:color w:val="333333"/>
                <w:sz w:val="20"/>
                <w:szCs w:val="20"/>
              </w:rPr>
            </w:pPr>
          </w:p>
          <w:p w:rsidR="00AC4008" w:rsidRDefault="00AC4008">
            <w:pPr>
              <w:spacing w:after="0" w:line="240" w:lineRule="auto"/>
              <w:jc w:val="center"/>
              <w:rPr>
                <w:rFonts w:ascii="Arial" w:hAnsi="Arial" w:cs="Arial"/>
                <w:color w:val="333333"/>
                <w:sz w:val="20"/>
                <w:szCs w:val="20"/>
              </w:rPr>
            </w:pPr>
            <w:r>
              <w:rPr>
                <w:rFonts w:ascii="Arial" w:hAnsi="Arial" w:cs="Arial"/>
                <w:b/>
                <w:bCs/>
                <w:color w:val="333333"/>
                <w:sz w:val="20"/>
                <w:szCs w:val="20"/>
              </w:rPr>
              <w:t>2013</w:t>
            </w:r>
          </w:p>
        </w:tc>
        <w:tc>
          <w:tcPr>
            <w:tcW w:w="873"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rsidR="00AC4008" w:rsidRDefault="00AC4008">
            <w:pPr>
              <w:spacing w:after="0" w:line="240" w:lineRule="auto"/>
              <w:jc w:val="center"/>
              <w:rPr>
                <w:rFonts w:ascii="Arial" w:hAnsi="Arial" w:cs="Arial"/>
                <w:b/>
                <w:bCs/>
                <w:color w:val="333333"/>
                <w:sz w:val="20"/>
                <w:szCs w:val="20"/>
              </w:rPr>
            </w:pPr>
          </w:p>
          <w:p w:rsidR="00AC4008" w:rsidRDefault="00AC4008">
            <w:pPr>
              <w:spacing w:after="0" w:line="240" w:lineRule="auto"/>
              <w:jc w:val="center"/>
              <w:rPr>
                <w:rFonts w:ascii="Arial" w:hAnsi="Arial" w:cs="Arial"/>
                <w:b/>
                <w:bCs/>
                <w:color w:val="333333"/>
                <w:sz w:val="20"/>
                <w:szCs w:val="20"/>
              </w:rPr>
            </w:pPr>
            <w:r>
              <w:rPr>
                <w:rFonts w:ascii="Arial" w:hAnsi="Arial" w:cs="Arial"/>
                <w:b/>
                <w:bCs/>
                <w:color w:val="333333"/>
                <w:sz w:val="20"/>
                <w:szCs w:val="20"/>
              </w:rPr>
              <w:t>2014</w:t>
            </w:r>
          </w:p>
        </w:tc>
        <w:tc>
          <w:tcPr>
            <w:tcW w:w="992"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AC4008" w:rsidRDefault="00AC4008">
            <w:pPr>
              <w:spacing w:after="0" w:line="240" w:lineRule="auto"/>
              <w:jc w:val="center"/>
              <w:rPr>
                <w:rFonts w:ascii="Arial" w:hAnsi="Arial" w:cs="Arial"/>
                <w:b/>
                <w:bCs/>
                <w:color w:val="333333"/>
                <w:sz w:val="18"/>
                <w:szCs w:val="18"/>
              </w:rPr>
            </w:pPr>
            <w:r>
              <w:rPr>
                <w:rFonts w:ascii="Arial" w:hAnsi="Arial" w:cs="Arial"/>
                <w:b/>
                <w:bCs/>
                <w:color w:val="333333"/>
                <w:sz w:val="18"/>
                <w:szCs w:val="18"/>
              </w:rPr>
              <w:t>Totale conti correnti bancari postali</w:t>
            </w:r>
          </w:p>
        </w:tc>
      </w:tr>
      <w:tr w:rsidR="00AC4008" w:rsidTr="00AC4008">
        <w:trPr>
          <w:tblCellSpacing w:w="6" w:type="dxa"/>
        </w:trPr>
        <w:tc>
          <w:tcPr>
            <w:tcW w:w="1582"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AC4008" w:rsidRDefault="00AC4008">
            <w:pPr>
              <w:spacing w:after="0" w:line="240" w:lineRule="auto"/>
              <w:jc w:val="both"/>
              <w:rPr>
                <w:rFonts w:ascii="Arial" w:hAnsi="Arial" w:cs="Arial"/>
                <w:color w:val="333333"/>
                <w:sz w:val="20"/>
                <w:szCs w:val="20"/>
              </w:rPr>
            </w:pPr>
            <w:r>
              <w:rPr>
                <w:rFonts w:ascii="Arial" w:hAnsi="Arial" w:cs="Arial"/>
                <w:b/>
                <w:bCs/>
                <w:color w:val="333333"/>
                <w:sz w:val="20"/>
                <w:szCs w:val="20"/>
              </w:rPr>
              <w:t> Conti correnti bancari, postali *</w:t>
            </w:r>
          </w:p>
        </w:tc>
        <w:tc>
          <w:tcPr>
            <w:tcW w:w="657"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AC4008" w:rsidRDefault="00AC4008">
            <w:pPr>
              <w:spacing w:after="0" w:line="240" w:lineRule="auto"/>
              <w:jc w:val="center"/>
              <w:rPr>
                <w:rFonts w:ascii="Arial" w:hAnsi="Arial" w:cs="Arial"/>
                <w:color w:val="333333"/>
                <w:sz w:val="20"/>
                <w:szCs w:val="20"/>
              </w:rPr>
            </w:pPr>
            <w:r>
              <w:rPr>
                <w:rFonts w:ascii="Arial" w:hAnsi="Arial" w:cs="Arial"/>
                <w:color w:val="333333"/>
                <w:sz w:val="20"/>
                <w:szCs w:val="20"/>
              </w:rPr>
              <w:t> </w:t>
            </w:r>
          </w:p>
        </w:tc>
        <w:tc>
          <w:tcPr>
            <w:tcW w:w="873"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AC4008" w:rsidRDefault="00AC4008">
            <w:pPr>
              <w:spacing w:after="0" w:line="240" w:lineRule="auto"/>
              <w:jc w:val="center"/>
              <w:rPr>
                <w:rFonts w:ascii="Arial" w:hAnsi="Arial" w:cs="Arial"/>
                <w:color w:val="333333"/>
                <w:sz w:val="20"/>
                <w:szCs w:val="20"/>
              </w:rPr>
            </w:pPr>
            <w:r>
              <w:rPr>
                <w:rFonts w:ascii="Arial" w:hAnsi="Arial" w:cs="Arial"/>
                <w:color w:val="333333"/>
                <w:sz w:val="20"/>
                <w:szCs w:val="20"/>
              </w:rPr>
              <w:t> </w:t>
            </w:r>
          </w:p>
        </w:tc>
        <w:tc>
          <w:tcPr>
            <w:tcW w:w="873"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rsidR="00AC4008" w:rsidRDefault="00AC4008">
            <w:pPr>
              <w:spacing w:after="0" w:line="240" w:lineRule="auto"/>
              <w:jc w:val="center"/>
              <w:rPr>
                <w:rFonts w:ascii="Arial" w:hAnsi="Arial" w:cs="Arial"/>
                <w:color w:val="333333"/>
                <w:sz w:val="20"/>
                <w:szCs w:val="20"/>
              </w:rPr>
            </w:pPr>
          </w:p>
        </w:tc>
        <w:tc>
          <w:tcPr>
            <w:tcW w:w="992"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AC4008" w:rsidRDefault="00AC4008">
            <w:pPr>
              <w:spacing w:after="0" w:line="240" w:lineRule="auto"/>
              <w:jc w:val="center"/>
              <w:rPr>
                <w:rFonts w:ascii="Arial" w:hAnsi="Arial" w:cs="Arial"/>
                <w:color w:val="333333"/>
                <w:sz w:val="20"/>
                <w:szCs w:val="20"/>
              </w:rPr>
            </w:pPr>
            <w:r>
              <w:rPr>
                <w:rFonts w:ascii="Arial" w:hAnsi="Arial" w:cs="Arial"/>
                <w:color w:val="333333"/>
                <w:sz w:val="20"/>
                <w:szCs w:val="20"/>
              </w:rPr>
              <w:t>39.800.000</w:t>
            </w:r>
          </w:p>
        </w:tc>
      </w:tr>
      <w:tr w:rsidR="00AC4008" w:rsidTr="00AC4008">
        <w:trPr>
          <w:tblCellSpacing w:w="6" w:type="dxa"/>
        </w:trPr>
        <w:tc>
          <w:tcPr>
            <w:tcW w:w="1582"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AC4008" w:rsidRDefault="00AC4008">
            <w:pPr>
              <w:spacing w:after="0" w:line="240" w:lineRule="auto"/>
              <w:jc w:val="both"/>
              <w:rPr>
                <w:rFonts w:ascii="Arial" w:hAnsi="Arial" w:cs="Arial"/>
                <w:color w:val="333333"/>
                <w:sz w:val="20"/>
                <w:szCs w:val="20"/>
              </w:rPr>
            </w:pPr>
            <w:r>
              <w:rPr>
                <w:rFonts w:ascii="Arial" w:hAnsi="Arial" w:cs="Arial"/>
                <w:color w:val="333333"/>
                <w:sz w:val="20"/>
                <w:szCs w:val="20"/>
              </w:rPr>
              <w:t> - con giacenza media</w:t>
            </w:r>
            <w:r>
              <w:rPr>
                <w:rFonts w:ascii="Arial" w:hAnsi="Arial" w:cs="Arial"/>
                <w:b/>
                <w:bCs/>
                <w:color w:val="333333"/>
                <w:sz w:val="20"/>
                <w:szCs w:val="20"/>
              </w:rPr>
              <w:t xml:space="preserve"> inferiore a € 5.000</w:t>
            </w:r>
          </w:p>
        </w:tc>
        <w:tc>
          <w:tcPr>
            <w:tcW w:w="657"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AC4008" w:rsidRDefault="00AC4008">
            <w:pPr>
              <w:spacing w:after="0" w:line="240" w:lineRule="auto"/>
              <w:jc w:val="center"/>
              <w:rPr>
                <w:rFonts w:ascii="Arial" w:hAnsi="Arial" w:cs="Arial"/>
                <w:color w:val="333333"/>
                <w:sz w:val="20"/>
                <w:szCs w:val="20"/>
              </w:rPr>
            </w:pPr>
            <w:r>
              <w:rPr>
                <w:rFonts w:ascii="Arial" w:hAnsi="Arial" w:cs="Arial"/>
                <w:color w:val="333333"/>
                <w:sz w:val="20"/>
                <w:szCs w:val="20"/>
              </w:rPr>
              <w:t>esenti</w:t>
            </w:r>
          </w:p>
        </w:tc>
        <w:tc>
          <w:tcPr>
            <w:tcW w:w="873"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AC4008" w:rsidRDefault="00AC4008">
            <w:pPr>
              <w:spacing w:after="0" w:line="240" w:lineRule="auto"/>
              <w:jc w:val="center"/>
              <w:rPr>
                <w:rFonts w:ascii="Arial" w:hAnsi="Arial" w:cs="Arial"/>
                <w:color w:val="333333"/>
                <w:sz w:val="20"/>
                <w:szCs w:val="20"/>
              </w:rPr>
            </w:pPr>
            <w:r>
              <w:rPr>
                <w:rFonts w:ascii="Arial" w:hAnsi="Arial" w:cs="Arial"/>
                <w:b/>
                <w:bCs/>
                <w:color w:val="333333"/>
                <w:sz w:val="20"/>
                <w:szCs w:val="20"/>
              </w:rPr>
              <w:t>esenti</w:t>
            </w:r>
          </w:p>
        </w:tc>
        <w:tc>
          <w:tcPr>
            <w:tcW w:w="873"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AC4008" w:rsidRDefault="00AC4008">
            <w:pPr>
              <w:spacing w:after="0" w:line="240" w:lineRule="auto"/>
              <w:jc w:val="center"/>
              <w:rPr>
                <w:rFonts w:ascii="Arial" w:hAnsi="Arial" w:cs="Arial"/>
                <w:color w:val="333333"/>
                <w:sz w:val="20"/>
                <w:szCs w:val="20"/>
              </w:rPr>
            </w:pPr>
            <w:r>
              <w:rPr>
                <w:rFonts w:ascii="Arial" w:hAnsi="Arial" w:cs="Arial"/>
                <w:b/>
                <w:bCs/>
                <w:color w:val="333333"/>
                <w:sz w:val="20"/>
                <w:szCs w:val="20"/>
              </w:rPr>
              <w:t>esenti</w:t>
            </w:r>
          </w:p>
        </w:tc>
        <w:tc>
          <w:tcPr>
            <w:tcW w:w="992"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AC4008" w:rsidRDefault="00AC4008">
            <w:pPr>
              <w:spacing w:after="0" w:line="240" w:lineRule="auto"/>
              <w:jc w:val="center"/>
              <w:rPr>
                <w:rFonts w:ascii="Arial" w:hAnsi="Arial" w:cs="Arial"/>
                <w:b/>
                <w:bCs/>
                <w:color w:val="333333"/>
                <w:sz w:val="20"/>
                <w:szCs w:val="20"/>
              </w:rPr>
            </w:pPr>
            <w:r>
              <w:rPr>
                <w:rFonts w:ascii="Arial" w:hAnsi="Arial" w:cs="Arial"/>
                <w:b/>
                <w:bCs/>
                <w:color w:val="333333"/>
                <w:sz w:val="20"/>
                <w:szCs w:val="20"/>
              </w:rPr>
              <w:t>9.800.000</w:t>
            </w:r>
          </w:p>
        </w:tc>
      </w:tr>
      <w:tr w:rsidR="00AC4008" w:rsidTr="00AC4008">
        <w:trPr>
          <w:tblCellSpacing w:w="6" w:type="dxa"/>
        </w:trPr>
        <w:tc>
          <w:tcPr>
            <w:tcW w:w="1582"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AC4008" w:rsidRDefault="00AC4008">
            <w:pPr>
              <w:spacing w:after="0" w:line="240" w:lineRule="auto"/>
              <w:jc w:val="both"/>
              <w:rPr>
                <w:rFonts w:ascii="Arial" w:hAnsi="Arial" w:cs="Arial"/>
                <w:color w:val="333333"/>
                <w:sz w:val="20"/>
                <w:szCs w:val="20"/>
              </w:rPr>
            </w:pPr>
            <w:r>
              <w:rPr>
                <w:rFonts w:ascii="Arial" w:hAnsi="Arial" w:cs="Arial"/>
                <w:color w:val="333333"/>
                <w:sz w:val="20"/>
                <w:szCs w:val="20"/>
              </w:rPr>
              <w:t xml:space="preserve"> - con giacenza media </w:t>
            </w:r>
            <w:r>
              <w:rPr>
                <w:rFonts w:ascii="Arial" w:hAnsi="Arial" w:cs="Arial"/>
                <w:b/>
                <w:bCs/>
                <w:color w:val="333333"/>
                <w:sz w:val="20"/>
                <w:szCs w:val="20"/>
              </w:rPr>
              <w:t>superiore a € 5.000</w:t>
            </w:r>
          </w:p>
        </w:tc>
        <w:tc>
          <w:tcPr>
            <w:tcW w:w="657"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AC4008" w:rsidRDefault="00AC4008">
            <w:pPr>
              <w:spacing w:after="0" w:line="240" w:lineRule="auto"/>
              <w:jc w:val="center"/>
              <w:rPr>
                <w:rFonts w:ascii="Arial" w:hAnsi="Arial" w:cs="Arial"/>
                <w:color w:val="333333"/>
                <w:sz w:val="20"/>
                <w:szCs w:val="20"/>
              </w:rPr>
            </w:pPr>
            <w:r>
              <w:rPr>
                <w:rFonts w:ascii="Arial" w:hAnsi="Arial" w:cs="Arial"/>
                <w:color w:val="333333"/>
                <w:sz w:val="20"/>
                <w:szCs w:val="20"/>
              </w:rPr>
              <w:t>€ 34,20</w:t>
            </w:r>
          </w:p>
        </w:tc>
        <w:tc>
          <w:tcPr>
            <w:tcW w:w="873"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AC4008" w:rsidRDefault="00AC4008">
            <w:pPr>
              <w:spacing w:after="0" w:line="240" w:lineRule="auto"/>
              <w:jc w:val="center"/>
              <w:rPr>
                <w:rFonts w:ascii="Arial" w:hAnsi="Arial" w:cs="Arial"/>
                <w:color w:val="333333"/>
                <w:sz w:val="20"/>
                <w:szCs w:val="20"/>
              </w:rPr>
            </w:pPr>
            <w:r>
              <w:rPr>
                <w:rFonts w:ascii="Arial" w:hAnsi="Arial" w:cs="Arial"/>
                <w:b/>
                <w:bCs/>
                <w:color w:val="333333"/>
                <w:sz w:val="20"/>
                <w:szCs w:val="20"/>
              </w:rPr>
              <w:t> € 34,20</w:t>
            </w:r>
          </w:p>
        </w:tc>
        <w:tc>
          <w:tcPr>
            <w:tcW w:w="873"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AC4008" w:rsidRDefault="00AC4008">
            <w:pPr>
              <w:spacing w:after="0" w:line="240" w:lineRule="auto"/>
              <w:jc w:val="center"/>
              <w:rPr>
                <w:rFonts w:ascii="Arial" w:hAnsi="Arial" w:cs="Arial"/>
                <w:color w:val="333333"/>
                <w:sz w:val="20"/>
                <w:szCs w:val="20"/>
              </w:rPr>
            </w:pPr>
            <w:r>
              <w:rPr>
                <w:rFonts w:ascii="Arial" w:hAnsi="Arial" w:cs="Arial"/>
                <w:b/>
                <w:bCs/>
                <w:color w:val="333333"/>
                <w:sz w:val="20"/>
                <w:szCs w:val="20"/>
              </w:rPr>
              <w:t> € 34,20</w:t>
            </w:r>
          </w:p>
        </w:tc>
        <w:tc>
          <w:tcPr>
            <w:tcW w:w="992"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AC4008" w:rsidRDefault="00AC4008">
            <w:pPr>
              <w:spacing w:after="0" w:line="240" w:lineRule="auto"/>
              <w:jc w:val="center"/>
              <w:rPr>
                <w:rFonts w:ascii="Arial" w:hAnsi="Arial" w:cs="Arial"/>
                <w:b/>
                <w:bCs/>
                <w:color w:val="333333"/>
                <w:sz w:val="20"/>
                <w:szCs w:val="20"/>
              </w:rPr>
            </w:pPr>
            <w:r>
              <w:rPr>
                <w:rFonts w:ascii="Arial" w:hAnsi="Arial" w:cs="Arial"/>
                <w:b/>
                <w:bCs/>
                <w:color w:val="333333"/>
                <w:sz w:val="20"/>
                <w:szCs w:val="20"/>
              </w:rPr>
              <w:t>30.000.000</w:t>
            </w:r>
          </w:p>
        </w:tc>
      </w:tr>
      <w:tr w:rsidR="00AC4008" w:rsidTr="00AC4008">
        <w:trPr>
          <w:tblCellSpacing w:w="6" w:type="dxa"/>
        </w:trPr>
        <w:tc>
          <w:tcPr>
            <w:tcW w:w="1582"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AC4008" w:rsidRDefault="00AC4008">
            <w:pPr>
              <w:spacing w:after="0" w:line="240" w:lineRule="auto"/>
              <w:jc w:val="both"/>
              <w:rPr>
                <w:rFonts w:ascii="Arial" w:hAnsi="Arial" w:cs="Arial"/>
                <w:color w:val="333333"/>
                <w:sz w:val="20"/>
                <w:szCs w:val="20"/>
              </w:rPr>
            </w:pPr>
            <w:r>
              <w:rPr>
                <w:rFonts w:ascii="Arial" w:hAnsi="Arial" w:cs="Arial"/>
                <w:color w:val="333333"/>
                <w:sz w:val="20"/>
                <w:szCs w:val="20"/>
              </w:rPr>
              <w:t xml:space="preserve"> - intestati a </w:t>
            </w:r>
            <w:r>
              <w:rPr>
                <w:rFonts w:ascii="Arial" w:hAnsi="Arial" w:cs="Arial"/>
                <w:b/>
                <w:bCs/>
                <w:color w:val="333333"/>
                <w:sz w:val="20"/>
                <w:szCs w:val="20"/>
              </w:rPr>
              <w:t>persona giuridica</w:t>
            </w:r>
          </w:p>
        </w:tc>
        <w:tc>
          <w:tcPr>
            <w:tcW w:w="657"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AC4008" w:rsidRDefault="00AC4008">
            <w:pPr>
              <w:spacing w:after="0" w:line="240" w:lineRule="auto"/>
              <w:jc w:val="center"/>
              <w:rPr>
                <w:rFonts w:ascii="Arial" w:hAnsi="Arial" w:cs="Arial"/>
                <w:color w:val="333333"/>
                <w:sz w:val="20"/>
                <w:szCs w:val="20"/>
              </w:rPr>
            </w:pPr>
            <w:r>
              <w:rPr>
                <w:rFonts w:ascii="Arial" w:hAnsi="Arial" w:cs="Arial"/>
                <w:color w:val="333333"/>
                <w:sz w:val="20"/>
                <w:szCs w:val="20"/>
              </w:rPr>
              <w:t> € 100</w:t>
            </w:r>
          </w:p>
        </w:tc>
        <w:tc>
          <w:tcPr>
            <w:tcW w:w="873"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AC4008" w:rsidRDefault="00AC4008">
            <w:pPr>
              <w:spacing w:after="0" w:line="240" w:lineRule="auto"/>
              <w:jc w:val="center"/>
              <w:rPr>
                <w:rFonts w:ascii="Arial" w:hAnsi="Arial" w:cs="Arial"/>
                <w:color w:val="333333"/>
                <w:sz w:val="20"/>
                <w:szCs w:val="20"/>
              </w:rPr>
            </w:pPr>
            <w:r>
              <w:rPr>
                <w:rFonts w:ascii="Arial" w:hAnsi="Arial" w:cs="Arial"/>
                <w:color w:val="333333"/>
                <w:sz w:val="20"/>
                <w:szCs w:val="20"/>
              </w:rPr>
              <w:t> </w:t>
            </w:r>
            <w:r>
              <w:rPr>
                <w:rFonts w:ascii="Arial" w:hAnsi="Arial" w:cs="Arial"/>
                <w:b/>
                <w:bCs/>
                <w:color w:val="333333"/>
                <w:sz w:val="20"/>
                <w:szCs w:val="20"/>
              </w:rPr>
              <w:t>€ 100</w:t>
            </w:r>
          </w:p>
        </w:tc>
        <w:tc>
          <w:tcPr>
            <w:tcW w:w="873"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AC4008" w:rsidRDefault="00AC4008">
            <w:pPr>
              <w:spacing w:after="0" w:line="240" w:lineRule="auto"/>
              <w:jc w:val="center"/>
              <w:rPr>
                <w:rFonts w:ascii="Arial" w:hAnsi="Arial" w:cs="Arial"/>
                <w:color w:val="333333"/>
                <w:sz w:val="20"/>
                <w:szCs w:val="20"/>
              </w:rPr>
            </w:pPr>
            <w:r>
              <w:rPr>
                <w:rFonts w:ascii="Arial" w:hAnsi="Arial" w:cs="Arial"/>
                <w:color w:val="333333"/>
                <w:sz w:val="20"/>
                <w:szCs w:val="20"/>
              </w:rPr>
              <w:t> </w:t>
            </w:r>
            <w:r>
              <w:rPr>
                <w:rFonts w:ascii="Arial" w:hAnsi="Arial" w:cs="Arial"/>
                <w:b/>
                <w:bCs/>
                <w:color w:val="333333"/>
                <w:sz w:val="20"/>
                <w:szCs w:val="20"/>
              </w:rPr>
              <w:t>€ 100</w:t>
            </w:r>
          </w:p>
        </w:tc>
        <w:tc>
          <w:tcPr>
            <w:tcW w:w="992"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AC4008" w:rsidRDefault="00AC4008">
            <w:pPr>
              <w:spacing w:after="0" w:line="240" w:lineRule="auto"/>
              <w:jc w:val="center"/>
              <w:rPr>
                <w:rFonts w:ascii="Arial" w:hAnsi="Arial" w:cs="Arial"/>
                <w:color w:val="333333"/>
                <w:sz w:val="20"/>
                <w:szCs w:val="20"/>
              </w:rPr>
            </w:pPr>
            <w:r>
              <w:rPr>
                <w:rFonts w:ascii="Arial" w:hAnsi="Arial" w:cs="Arial"/>
                <w:color w:val="333333"/>
                <w:sz w:val="20"/>
                <w:szCs w:val="20"/>
              </w:rPr>
              <w:t>10.000.000</w:t>
            </w:r>
          </w:p>
        </w:tc>
      </w:tr>
      <w:tr w:rsidR="00AC4008" w:rsidTr="00AC4008">
        <w:trPr>
          <w:tblCellSpacing w:w="6" w:type="dxa"/>
        </w:trPr>
        <w:tc>
          <w:tcPr>
            <w:tcW w:w="1582"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AC4008" w:rsidRDefault="00AC4008">
            <w:pPr>
              <w:spacing w:after="0" w:line="240" w:lineRule="auto"/>
              <w:jc w:val="both"/>
              <w:rPr>
                <w:rFonts w:ascii="Arial" w:hAnsi="Arial" w:cs="Arial"/>
                <w:color w:val="333333"/>
                <w:sz w:val="20"/>
                <w:szCs w:val="20"/>
              </w:rPr>
            </w:pPr>
            <w:r>
              <w:rPr>
                <w:rFonts w:ascii="Arial" w:hAnsi="Arial" w:cs="Arial"/>
                <w:b/>
                <w:bCs/>
                <w:color w:val="333333"/>
                <w:sz w:val="20"/>
                <w:szCs w:val="20"/>
              </w:rPr>
              <w:t> Certificati di deposito</w:t>
            </w:r>
            <w:r>
              <w:rPr>
                <w:rFonts w:ascii="Arial" w:hAnsi="Arial" w:cs="Arial"/>
                <w:b/>
                <w:bCs/>
                <w:color w:val="333333"/>
                <w:sz w:val="20"/>
                <w:szCs w:val="20"/>
              </w:rPr>
              <w:br/>
              <w:t xml:space="preserve"> Dossier titoli </w:t>
            </w:r>
            <w:r>
              <w:rPr>
                <w:rFonts w:ascii="Arial" w:hAnsi="Arial" w:cs="Arial"/>
                <w:color w:val="333333"/>
                <w:sz w:val="20"/>
                <w:szCs w:val="20"/>
              </w:rPr>
              <w:t>(sul valore di mercato al momento del prelievo)</w:t>
            </w:r>
          </w:p>
        </w:tc>
        <w:tc>
          <w:tcPr>
            <w:tcW w:w="657"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AC4008" w:rsidRDefault="00AC4008">
            <w:pPr>
              <w:spacing w:after="0" w:line="240" w:lineRule="auto"/>
              <w:jc w:val="center"/>
              <w:rPr>
                <w:rFonts w:ascii="Arial" w:hAnsi="Arial" w:cs="Arial"/>
                <w:color w:val="333333"/>
                <w:sz w:val="20"/>
                <w:szCs w:val="20"/>
              </w:rPr>
            </w:pPr>
            <w:r>
              <w:rPr>
                <w:rFonts w:ascii="Arial" w:hAnsi="Arial" w:cs="Arial"/>
                <w:color w:val="333333"/>
                <w:sz w:val="20"/>
                <w:szCs w:val="20"/>
              </w:rPr>
              <w:t> 0,10%</w:t>
            </w:r>
            <w:r>
              <w:rPr>
                <w:rFonts w:ascii="Arial" w:hAnsi="Arial" w:cs="Arial"/>
                <w:color w:val="333333"/>
                <w:sz w:val="20"/>
                <w:szCs w:val="20"/>
              </w:rPr>
              <w:br/>
            </w:r>
            <w:proofErr w:type="spellStart"/>
            <w:r>
              <w:rPr>
                <w:rFonts w:ascii="Arial" w:hAnsi="Arial" w:cs="Arial"/>
                <w:color w:val="333333"/>
                <w:sz w:val="20"/>
                <w:szCs w:val="20"/>
              </w:rPr>
              <w:t>min</w:t>
            </w:r>
            <w:proofErr w:type="spellEnd"/>
            <w:r>
              <w:rPr>
                <w:rFonts w:ascii="Arial" w:hAnsi="Arial" w:cs="Arial"/>
                <w:color w:val="333333"/>
                <w:sz w:val="20"/>
                <w:szCs w:val="20"/>
              </w:rPr>
              <w:t>: € 34,02</w:t>
            </w:r>
            <w:r>
              <w:rPr>
                <w:rFonts w:ascii="Arial" w:hAnsi="Arial" w:cs="Arial"/>
                <w:color w:val="333333"/>
                <w:sz w:val="20"/>
                <w:szCs w:val="20"/>
              </w:rPr>
              <w:br/>
              <w:t>max: € 1.200</w:t>
            </w:r>
          </w:p>
        </w:tc>
        <w:tc>
          <w:tcPr>
            <w:tcW w:w="873"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AC4008" w:rsidRDefault="00AC4008">
            <w:pPr>
              <w:spacing w:after="0" w:line="240" w:lineRule="auto"/>
              <w:jc w:val="center"/>
              <w:rPr>
                <w:rFonts w:ascii="Arial" w:hAnsi="Arial" w:cs="Arial"/>
                <w:color w:val="333333"/>
                <w:sz w:val="20"/>
                <w:szCs w:val="20"/>
              </w:rPr>
            </w:pPr>
            <w:r>
              <w:rPr>
                <w:rFonts w:ascii="Arial" w:hAnsi="Arial" w:cs="Arial"/>
                <w:b/>
                <w:bCs/>
                <w:color w:val="333333"/>
                <w:sz w:val="20"/>
                <w:szCs w:val="20"/>
              </w:rPr>
              <w:t>0,15%</w:t>
            </w:r>
            <w:r>
              <w:rPr>
                <w:rFonts w:ascii="Arial" w:hAnsi="Arial" w:cs="Arial"/>
                <w:b/>
                <w:bCs/>
                <w:color w:val="333333"/>
                <w:sz w:val="20"/>
                <w:szCs w:val="20"/>
              </w:rPr>
              <w:br/>
            </w:r>
            <w:proofErr w:type="spellStart"/>
            <w:r>
              <w:rPr>
                <w:rFonts w:ascii="Arial" w:hAnsi="Arial" w:cs="Arial"/>
                <w:b/>
                <w:bCs/>
                <w:color w:val="333333"/>
                <w:sz w:val="20"/>
                <w:szCs w:val="20"/>
              </w:rPr>
              <w:t>min</w:t>
            </w:r>
            <w:proofErr w:type="spellEnd"/>
            <w:r>
              <w:rPr>
                <w:rFonts w:ascii="Arial" w:hAnsi="Arial" w:cs="Arial"/>
                <w:b/>
                <w:bCs/>
                <w:color w:val="333333"/>
                <w:sz w:val="20"/>
                <w:szCs w:val="20"/>
              </w:rPr>
              <w:t>: € 34,02</w:t>
            </w:r>
            <w:r>
              <w:rPr>
                <w:rFonts w:ascii="Arial" w:hAnsi="Arial" w:cs="Arial"/>
                <w:b/>
                <w:bCs/>
                <w:color w:val="333333"/>
                <w:sz w:val="20"/>
                <w:szCs w:val="20"/>
              </w:rPr>
              <w:br/>
              <w:t>nessun tetto max</w:t>
            </w:r>
          </w:p>
        </w:tc>
        <w:tc>
          <w:tcPr>
            <w:tcW w:w="873"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AC4008" w:rsidRDefault="00AC4008">
            <w:pPr>
              <w:spacing w:after="0" w:line="240" w:lineRule="auto"/>
              <w:jc w:val="center"/>
              <w:rPr>
                <w:rFonts w:ascii="Arial" w:hAnsi="Arial" w:cs="Arial"/>
                <w:color w:val="333333"/>
                <w:sz w:val="20"/>
                <w:szCs w:val="20"/>
              </w:rPr>
            </w:pPr>
            <w:r>
              <w:rPr>
                <w:rFonts w:ascii="Arial" w:hAnsi="Arial" w:cs="Arial"/>
                <w:b/>
                <w:bCs/>
                <w:color w:val="333333"/>
                <w:sz w:val="20"/>
                <w:szCs w:val="20"/>
              </w:rPr>
              <w:t>0,20%</w:t>
            </w:r>
            <w:r>
              <w:rPr>
                <w:rFonts w:ascii="Arial" w:hAnsi="Arial" w:cs="Arial"/>
                <w:b/>
                <w:bCs/>
                <w:color w:val="333333"/>
                <w:sz w:val="20"/>
                <w:szCs w:val="20"/>
              </w:rPr>
              <w:br/>
            </w:r>
            <w:proofErr w:type="spellStart"/>
            <w:r>
              <w:rPr>
                <w:rFonts w:ascii="Arial" w:hAnsi="Arial" w:cs="Arial"/>
                <w:b/>
                <w:bCs/>
                <w:color w:val="333333"/>
                <w:sz w:val="20"/>
                <w:szCs w:val="20"/>
              </w:rPr>
              <w:t>min</w:t>
            </w:r>
            <w:proofErr w:type="spellEnd"/>
            <w:r>
              <w:rPr>
                <w:rFonts w:ascii="Arial" w:hAnsi="Arial" w:cs="Arial"/>
                <w:b/>
                <w:bCs/>
                <w:color w:val="333333"/>
                <w:sz w:val="20"/>
                <w:szCs w:val="20"/>
              </w:rPr>
              <w:t>: € 34,02</w:t>
            </w:r>
            <w:r>
              <w:rPr>
                <w:rFonts w:ascii="Arial" w:hAnsi="Arial" w:cs="Arial"/>
                <w:b/>
                <w:bCs/>
                <w:color w:val="333333"/>
                <w:sz w:val="20"/>
                <w:szCs w:val="20"/>
              </w:rPr>
              <w:br/>
              <w:t>nessun tetto max</w:t>
            </w:r>
          </w:p>
        </w:tc>
        <w:tc>
          <w:tcPr>
            <w:tcW w:w="992"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AC4008" w:rsidRDefault="00AC4008">
            <w:pPr>
              <w:spacing w:after="0" w:line="240" w:lineRule="auto"/>
              <w:jc w:val="center"/>
              <w:rPr>
                <w:rFonts w:ascii="Arial" w:hAnsi="Arial" w:cs="Arial"/>
                <w:b/>
                <w:bCs/>
                <w:color w:val="333333"/>
                <w:sz w:val="20"/>
                <w:szCs w:val="20"/>
              </w:rPr>
            </w:pPr>
            <w:r>
              <w:rPr>
                <w:rFonts w:ascii="Arial" w:hAnsi="Arial" w:cs="Arial"/>
                <w:b/>
                <w:bCs/>
                <w:color w:val="333333"/>
                <w:sz w:val="20"/>
                <w:szCs w:val="20"/>
              </w:rPr>
              <w:t>Gettito annuo persone giuridiche</w:t>
            </w:r>
          </w:p>
          <w:p w:rsidR="00AC4008" w:rsidRDefault="00AC4008">
            <w:pPr>
              <w:spacing w:after="0" w:line="240" w:lineRule="auto"/>
              <w:jc w:val="center"/>
              <w:rPr>
                <w:rFonts w:ascii="Arial" w:hAnsi="Arial" w:cs="Arial"/>
                <w:b/>
                <w:bCs/>
                <w:color w:val="333333"/>
                <w:sz w:val="20"/>
                <w:szCs w:val="20"/>
              </w:rPr>
            </w:pPr>
            <w:r>
              <w:rPr>
                <w:rFonts w:ascii="Arial" w:hAnsi="Arial" w:cs="Arial"/>
                <w:b/>
                <w:bCs/>
                <w:color w:val="333333"/>
                <w:sz w:val="20"/>
                <w:szCs w:val="20"/>
              </w:rPr>
              <w:t xml:space="preserve">Bollo € 1 miliardo </w:t>
            </w:r>
          </w:p>
        </w:tc>
      </w:tr>
      <w:tr w:rsidR="00AC4008" w:rsidTr="00AC4008">
        <w:trPr>
          <w:tblCellSpacing w:w="6" w:type="dxa"/>
        </w:trPr>
        <w:tc>
          <w:tcPr>
            <w:tcW w:w="1582"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AC4008" w:rsidRDefault="00AC4008">
            <w:pPr>
              <w:spacing w:after="0" w:line="240" w:lineRule="auto"/>
              <w:jc w:val="both"/>
              <w:rPr>
                <w:rFonts w:ascii="Arial" w:hAnsi="Arial" w:cs="Arial"/>
                <w:color w:val="333333"/>
                <w:sz w:val="20"/>
                <w:szCs w:val="20"/>
              </w:rPr>
            </w:pPr>
            <w:r>
              <w:rPr>
                <w:rFonts w:ascii="Arial" w:hAnsi="Arial" w:cs="Arial"/>
                <w:b/>
                <w:bCs/>
                <w:color w:val="333333"/>
                <w:sz w:val="20"/>
                <w:szCs w:val="20"/>
              </w:rPr>
              <w:t> Buoni postali</w:t>
            </w:r>
            <w:r>
              <w:rPr>
                <w:rFonts w:ascii="Arial" w:hAnsi="Arial" w:cs="Arial"/>
                <w:b/>
                <w:bCs/>
                <w:color w:val="333333"/>
                <w:sz w:val="20"/>
                <w:szCs w:val="20"/>
              </w:rPr>
              <w:br/>
              <w:t> </w:t>
            </w:r>
            <w:r>
              <w:rPr>
                <w:rFonts w:ascii="Arial" w:hAnsi="Arial" w:cs="Arial"/>
                <w:color w:val="333333"/>
                <w:sz w:val="20"/>
                <w:szCs w:val="20"/>
              </w:rPr>
              <w:t>(</w:t>
            </w:r>
            <w:r>
              <w:rPr>
                <w:rFonts w:ascii="Arial" w:hAnsi="Arial" w:cs="Arial"/>
                <w:b/>
                <w:bCs/>
                <w:color w:val="333333"/>
                <w:sz w:val="20"/>
                <w:szCs w:val="20"/>
              </w:rPr>
              <w:t xml:space="preserve">esenti </w:t>
            </w:r>
            <w:r>
              <w:rPr>
                <w:rFonts w:ascii="Arial" w:hAnsi="Arial" w:cs="Arial"/>
                <w:color w:val="333333"/>
                <w:sz w:val="20"/>
                <w:szCs w:val="20"/>
              </w:rPr>
              <w:t xml:space="preserve">se complessivamente </w:t>
            </w:r>
            <w:r>
              <w:rPr>
                <w:rFonts w:ascii="Arial" w:hAnsi="Arial" w:cs="Arial"/>
                <w:b/>
                <w:bCs/>
                <w:color w:val="333333"/>
                <w:sz w:val="20"/>
                <w:szCs w:val="20"/>
              </w:rPr>
              <w:t>inferiori a € 5.000</w:t>
            </w:r>
            <w:r>
              <w:rPr>
                <w:rFonts w:ascii="Arial" w:hAnsi="Arial" w:cs="Arial"/>
                <w:color w:val="333333"/>
                <w:sz w:val="20"/>
                <w:szCs w:val="20"/>
              </w:rPr>
              <w:t>)</w:t>
            </w:r>
          </w:p>
        </w:tc>
        <w:tc>
          <w:tcPr>
            <w:tcW w:w="657"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AC4008" w:rsidRDefault="00AC4008">
            <w:pPr>
              <w:spacing w:after="0" w:line="240" w:lineRule="auto"/>
              <w:jc w:val="center"/>
              <w:rPr>
                <w:rFonts w:ascii="Arial" w:hAnsi="Arial" w:cs="Arial"/>
                <w:color w:val="333333"/>
                <w:sz w:val="20"/>
                <w:szCs w:val="20"/>
              </w:rPr>
            </w:pPr>
            <w:r>
              <w:rPr>
                <w:rFonts w:ascii="Arial" w:hAnsi="Arial" w:cs="Arial"/>
                <w:color w:val="333333"/>
                <w:sz w:val="20"/>
                <w:szCs w:val="20"/>
              </w:rPr>
              <w:t>0,10%</w:t>
            </w:r>
            <w:r>
              <w:rPr>
                <w:rFonts w:ascii="Arial" w:hAnsi="Arial" w:cs="Arial"/>
                <w:color w:val="333333"/>
                <w:sz w:val="20"/>
                <w:szCs w:val="20"/>
              </w:rPr>
              <w:br/>
            </w:r>
            <w:proofErr w:type="spellStart"/>
            <w:r>
              <w:rPr>
                <w:rFonts w:ascii="Arial" w:hAnsi="Arial" w:cs="Arial"/>
                <w:color w:val="333333"/>
                <w:sz w:val="20"/>
                <w:szCs w:val="20"/>
              </w:rPr>
              <w:t>min</w:t>
            </w:r>
            <w:proofErr w:type="spellEnd"/>
            <w:r>
              <w:rPr>
                <w:rFonts w:ascii="Arial" w:hAnsi="Arial" w:cs="Arial"/>
                <w:color w:val="333333"/>
                <w:sz w:val="20"/>
                <w:szCs w:val="20"/>
              </w:rPr>
              <w:t>: € 34,02</w:t>
            </w:r>
            <w:r>
              <w:rPr>
                <w:rFonts w:ascii="Arial" w:hAnsi="Arial" w:cs="Arial"/>
                <w:color w:val="333333"/>
                <w:sz w:val="20"/>
                <w:szCs w:val="20"/>
              </w:rPr>
              <w:br/>
              <w:t>max: € 1.200</w:t>
            </w:r>
          </w:p>
        </w:tc>
        <w:tc>
          <w:tcPr>
            <w:tcW w:w="873"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AC4008" w:rsidRDefault="00AC4008">
            <w:pPr>
              <w:spacing w:after="0" w:line="240" w:lineRule="auto"/>
              <w:jc w:val="center"/>
              <w:rPr>
                <w:rFonts w:ascii="Arial" w:hAnsi="Arial" w:cs="Arial"/>
                <w:color w:val="333333"/>
                <w:sz w:val="20"/>
                <w:szCs w:val="20"/>
              </w:rPr>
            </w:pPr>
            <w:r>
              <w:rPr>
                <w:rFonts w:ascii="Arial" w:hAnsi="Arial" w:cs="Arial"/>
                <w:b/>
                <w:bCs/>
                <w:color w:val="333333"/>
                <w:sz w:val="20"/>
                <w:szCs w:val="20"/>
              </w:rPr>
              <w:t>0,15%</w:t>
            </w:r>
            <w:r>
              <w:rPr>
                <w:rFonts w:ascii="Arial" w:hAnsi="Arial" w:cs="Arial"/>
                <w:b/>
                <w:bCs/>
                <w:color w:val="333333"/>
                <w:sz w:val="20"/>
                <w:szCs w:val="20"/>
              </w:rPr>
              <w:br/>
            </w:r>
            <w:proofErr w:type="spellStart"/>
            <w:r>
              <w:rPr>
                <w:rFonts w:ascii="Arial" w:hAnsi="Arial" w:cs="Arial"/>
                <w:b/>
                <w:bCs/>
                <w:color w:val="333333"/>
                <w:sz w:val="20"/>
                <w:szCs w:val="20"/>
              </w:rPr>
              <w:t>min</w:t>
            </w:r>
            <w:proofErr w:type="spellEnd"/>
            <w:r>
              <w:rPr>
                <w:rFonts w:ascii="Arial" w:hAnsi="Arial" w:cs="Arial"/>
                <w:b/>
                <w:bCs/>
                <w:color w:val="333333"/>
                <w:sz w:val="20"/>
                <w:szCs w:val="20"/>
              </w:rPr>
              <w:t>: € 34,02</w:t>
            </w:r>
            <w:r>
              <w:rPr>
                <w:rFonts w:ascii="Arial" w:hAnsi="Arial" w:cs="Arial"/>
                <w:b/>
                <w:bCs/>
                <w:color w:val="333333"/>
                <w:sz w:val="20"/>
                <w:szCs w:val="20"/>
              </w:rPr>
              <w:br/>
              <w:t>nessun tetto max</w:t>
            </w:r>
          </w:p>
        </w:tc>
        <w:tc>
          <w:tcPr>
            <w:tcW w:w="873"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AC4008" w:rsidRDefault="00AC4008">
            <w:pPr>
              <w:spacing w:after="0" w:line="240" w:lineRule="auto"/>
              <w:jc w:val="center"/>
              <w:rPr>
                <w:rFonts w:ascii="Arial" w:hAnsi="Arial" w:cs="Arial"/>
                <w:color w:val="333333"/>
                <w:sz w:val="20"/>
                <w:szCs w:val="20"/>
              </w:rPr>
            </w:pPr>
            <w:r>
              <w:rPr>
                <w:rFonts w:ascii="Arial" w:hAnsi="Arial" w:cs="Arial"/>
                <w:b/>
                <w:bCs/>
                <w:color w:val="333333"/>
                <w:sz w:val="20"/>
                <w:szCs w:val="20"/>
              </w:rPr>
              <w:t>0,20%</w:t>
            </w:r>
            <w:r>
              <w:rPr>
                <w:rFonts w:ascii="Arial" w:hAnsi="Arial" w:cs="Arial"/>
                <w:b/>
                <w:bCs/>
                <w:color w:val="333333"/>
                <w:sz w:val="20"/>
                <w:szCs w:val="20"/>
              </w:rPr>
              <w:br/>
            </w:r>
            <w:proofErr w:type="spellStart"/>
            <w:r>
              <w:rPr>
                <w:rFonts w:ascii="Arial" w:hAnsi="Arial" w:cs="Arial"/>
                <w:b/>
                <w:bCs/>
                <w:color w:val="333333"/>
                <w:sz w:val="20"/>
                <w:szCs w:val="20"/>
              </w:rPr>
              <w:t>min</w:t>
            </w:r>
            <w:proofErr w:type="spellEnd"/>
            <w:r>
              <w:rPr>
                <w:rFonts w:ascii="Arial" w:hAnsi="Arial" w:cs="Arial"/>
                <w:b/>
                <w:bCs/>
                <w:color w:val="333333"/>
                <w:sz w:val="20"/>
                <w:szCs w:val="20"/>
              </w:rPr>
              <w:t>: € 34,02</w:t>
            </w:r>
            <w:r>
              <w:rPr>
                <w:rFonts w:ascii="Arial" w:hAnsi="Arial" w:cs="Arial"/>
                <w:b/>
                <w:bCs/>
                <w:color w:val="333333"/>
                <w:sz w:val="20"/>
                <w:szCs w:val="20"/>
              </w:rPr>
              <w:br/>
              <w:t>nessun tetto max</w:t>
            </w:r>
          </w:p>
        </w:tc>
        <w:tc>
          <w:tcPr>
            <w:tcW w:w="992"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AC4008" w:rsidRDefault="00AC4008">
            <w:pPr>
              <w:spacing w:after="0" w:line="240" w:lineRule="auto"/>
              <w:jc w:val="center"/>
              <w:rPr>
                <w:rFonts w:ascii="Arial" w:hAnsi="Arial" w:cs="Arial"/>
                <w:b/>
                <w:bCs/>
                <w:color w:val="333333"/>
                <w:sz w:val="20"/>
                <w:szCs w:val="20"/>
              </w:rPr>
            </w:pPr>
            <w:r>
              <w:rPr>
                <w:rFonts w:ascii="Arial" w:hAnsi="Arial" w:cs="Arial"/>
                <w:b/>
                <w:bCs/>
                <w:color w:val="333333"/>
                <w:sz w:val="20"/>
                <w:szCs w:val="20"/>
              </w:rPr>
              <w:t>Gettito annuo persone fisiche</w:t>
            </w:r>
          </w:p>
          <w:p w:rsidR="00AC4008" w:rsidRDefault="00AC4008">
            <w:pPr>
              <w:spacing w:after="0" w:line="240" w:lineRule="auto"/>
              <w:jc w:val="center"/>
              <w:rPr>
                <w:rFonts w:ascii="Arial" w:hAnsi="Arial" w:cs="Arial"/>
                <w:b/>
                <w:bCs/>
                <w:color w:val="333333"/>
                <w:sz w:val="20"/>
                <w:szCs w:val="20"/>
              </w:rPr>
            </w:pPr>
            <w:r>
              <w:rPr>
                <w:rFonts w:ascii="Arial" w:hAnsi="Arial" w:cs="Arial"/>
                <w:b/>
                <w:bCs/>
                <w:color w:val="333333"/>
                <w:sz w:val="20"/>
                <w:szCs w:val="20"/>
              </w:rPr>
              <w:t>Bollo € 684 milioni</w:t>
            </w:r>
          </w:p>
        </w:tc>
      </w:tr>
      <w:tr w:rsidR="00AC4008" w:rsidTr="00AC4008">
        <w:trPr>
          <w:tblCellSpacing w:w="6" w:type="dxa"/>
        </w:trPr>
        <w:tc>
          <w:tcPr>
            <w:tcW w:w="1582"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AC4008" w:rsidRDefault="00AC4008">
            <w:pPr>
              <w:spacing w:after="0" w:line="240" w:lineRule="auto"/>
              <w:jc w:val="both"/>
              <w:rPr>
                <w:rFonts w:ascii="Arial" w:hAnsi="Arial" w:cs="Arial"/>
                <w:b/>
                <w:bCs/>
                <w:color w:val="333333"/>
                <w:sz w:val="20"/>
                <w:szCs w:val="20"/>
              </w:rPr>
            </w:pPr>
            <w:r>
              <w:rPr>
                <w:rFonts w:ascii="Arial" w:hAnsi="Arial" w:cs="Arial"/>
                <w:b/>
                <w:bCs/>
                <w:color w:val="333333"/>
                <w:sz w:val="20"/>
                <w:szCs w:val="20"/>
              </w:rPr>
              <w:t>Aliquota 0,20 su tutti i titoli depositati in banca o posta</w:t>
            </w:r>
          </w:p>
        </w:tc>
        <w:tc>
          <w:tcPr>
            <w:tcW w:w="657"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AC4008" w:rsidRDefault="00AC4008">
            <w:pPr>
              <w:spacing w:after="0" w:line="240" w:lineRule="auto"/>
              <w:jc w:val="center"/>
              <w:rPr>
                <w:rFonts w:ascii="Arial" w:hAnsi="Arial" w:cs="Arial"/>
                <w:color w:val="333333"/>
                <w:sz w:val="20"/>
                <w:szCs w:val="20"/>
              </w:rPr>
            </w:pPr>
          </w:p>
        </w:tc>
        <w:tc>
          <w:tcPr>
            <w:tcW w:w="873"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AC4008" w:rsidRDefault="00AC4008">
            <w:pPr>
              <w:spacing w:after="0" w:line="240" w:lineRule="auto"/>
              <w:jc w:val="center"/>
              <w:rPr>
                <w:rFonts w:ascii="Arial" w:hAnsi="Arial" w:cs="Arial"/>
                <w:b/>
                <w:bCs/>
                <w:color w:val="333333"/>
                <w:sz w:val="20"/>
                <w:szCs w:val="20"/>
              </w:rPr>
            </w:pPr>
          </w:p>
        </w:tc>
        <w:tc>
          <w:tcPr>
            <w:tcW w:w="873"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AC4008" w:rsidRDefault="00AC4008">
            <w:pPr>
              <w:spacing w:after="0" w:line="240" w:lineRule="auto"/>
              <w:jc w:val="center"/>
              <w:rPr>
                <w:rFonts w:ascii="Arial" w:hAnsi="Arial" w:cs="Arial"/>
                <w:b/>
                <w:bCs/>
                <w:color w:val="333333"/>
                <w:sz w:val="20"/>
                <w:szCs w:val="20"/>
              </w:rPr>
            </w:pPr>
          </w:p>
        </w:tc>
        <w:tc>
          <w:tcPr>
            <w:tcW w:w="992"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AC4008" w:rsidRDefault="00AC4008">
            <w:pPr>
              <w:spacing w:after="0" w:line="240" w:lineRule="auto"/>
              <w:jc w:val="center"/>
              <w:rPr>
                <w:rFonts w:ascii="Arial" w:hAnsi="Arial" w:cs="Arial"/>
                <w:b/>
                <w:bCs/>
                <w:color w:val="333333"/>
                <w:sz w:val="20"/>
                <w:szCs w:val="20"/>
              </w:rPr>
            </w:pPr>
            <w:r>
              <w:rPr>
                <w:rFonts w:ascii="Arial" w:hAnsi="Arial" w:cs="Arial"/>
                <w:b/>
                <w:bCs/>
                <w:color w:val="333333"/>
                <w:sz w:val="20"/>
                <w:szCs w:val="20"/>
              </w:rPr>
              <w:t>Gettito aliquota 0,2 =3,6 Mld euro anno</w:t>
            </w:r>
          </w:p>
        </w:tc>
      </w:tr>
      <w:tr w:rsidR="00AC4008" w:rsidTr="00AC4008">
        <w:trPr>
          <w:tblCellSpacing w:w="6" w:type="dxa"/>
        </w:trPr>
        <w:tc>
          <w:tcPr>
            <w:tcW w:w="1582"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AC4008" w:rsidRDefault="00AC4008">
            <w:pPr>
              <w:spacing w:after="0" w:line="240" w:lineRule="auto"/>
              <w:jc w:val="both"/>
              <w:rPr>
                <w:rFonts w:ascii="Arial" w:hAnsi="Arial" w:cs="Arial"/>
                <w:b/>
                <w:bCs/>
                <w:color w:val="333333"/>
                <w:sz w:val="20"/>
                <w:szCs w:val="20"/>
              </w:rPr>
            </w:pPr>
            <w:r>
              <w:rPr>
                <w:rFonts w:ascii="Arial" w:hAnsi="Arial" w:cs="Arial"/>
                <w:b/>
                <w:bCs/>
                <w:color w:val="333333"/>
                <w:sz w:val="20"/>
                <w:szCs w:val="20"/>
              </w:rPr>
              <w:t>Aumento aliquota dal 20 al 26% su proventi attività finanziarie</w:t>
            </w:r>
          </w:p>
        </w:tc>
        <w:tc>
          <w:tcPr>
            <w:tcW w:w="657"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AC4008" w:rsidRDefault="00AC4008">
            <w:pPr>
              <w:spacing w:after="0" w:line="240" w:lineRule="auto"/>
              <w:jc w:val="center"/>
              <w:rPr>
                <w:rFonts w:ascii="Arial" w:hAnsi="Arial" w:cs="Arial"/>
                <w:color w:val="333333"/>
                <w:sz w:val="20"/>
                <w:szCs w:val="20"/>
              </w:rPr>
            </w:pPr>
          </w:p>
        </w:tc>
        <w:tc>
          <w:tcPr>
            <w:tcW w:w="873"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AC4008" w:rsidRDefault="00AC4008">
            <w:pPr>
              <w:spacing w:after="0" w:line="240" w:lineRule="auto"/>
              <w:jc w:val="center"/>
              <w:rPr>
                <w:rFonts w:ascii="Arial" w:hAnsi="Arial" w:cs="Arial"/>
                <w:b/>
                <w:bCs/>
                <w:color w:val="333333"/>
                <w:sz w:val="20"/>
                <w:szCs w:val="20"/>
              </w:rPr>
            </w:pPr>
          </w:p>
        </w:tc>
        <w:tc>
          <w:tcPr>
            <w:tcW w:w="873"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AC4008" w:rsidRDefault="00AC4008">
            <w:pPr>
              <w:spacing w:after="0" w:line="240" w:lineRule="auto"/>
              <w:jc w:val="center"/>
              <w:rPr>
                <w:rFonts w:ascii="Arial" w:hAnsi="Arial" w:cs="Arial"/>
                <w:b/>
                <w:bCs/>
                <w:color w:val="333333"/>
                <w:sz w:val="20"/>
                <w:szCs w:val="20"/>
              </w:rPr>
            </w:pPr>
          </w:p>
        </w:tc>
        <w:tc>
          <w:tcPr>
            <w:tcW w:w="992"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AC4008" w:rsidRDefault="00AC4008">
            <w:pPr>
              <w:spacing w:after="0" w:line="240" w:lineRule="auto"/>
              <w:jc w:val="center"/>
              <w:rPr>
                <w:rFonts w:ascii="Arial" w:hAnsi="Arial" w:cs="Arial"/>
                <w:b/>
                <w:bCs/>
                <w:color w:val="333333"/>
                <w:sz w:val="20"/>
                <w:szCs w:val="20"/>
              </w:rPr>
            </w:pPr>
            <w:r>
              <w:rPr>
                <w:rFonts w:ascii="Arial" w:hAnsi="Arial" w:cs="Arial"/>
                <w:b/>
                <w:bCs/>
                <w:color w:val="333333"/>
                <w:sz w:val="20"/>
                <w:szCs w:val="20"/>
              </w:rPr>
              <w:t>Gettito aliquota=2,8 miliardi euro anno</w:t>
            </w:r>
          </w:p>
        </w:tc>
      </w:tr>
    </w:tbl>
    <w:p w:rsidR="00AC4008" w:rsidRDefault="00AC4008" w:rsidP="00AC4008">
      <w:pPr>
        <w:spacing w:after="0" w:line="240" w:lineRule="auto"/>
        <w:jc w:val="both"/>
        <w:rPr>
          <w:rFonts w:ascii="Arial" w:hAnsi="Arial" w:cs="Arial"/>
          <w:color w:val="333333"/>
          <w:sz w:val="20"/>
          <w:szCs w:val="20"/>
          <w:lang w:eastAsia="it-IT"/>
        </w:rPr>
      </w:pPr>
    </w:p>
    <w:p w:rsidR="00AC4008" w:rsidRDefault="00AC4008" w:rsidP="00AC4008">
      <w:pPr>
        <w:spacing w:after="0" w:line="240" w:lineRule="auto"/>
        <w:jc w:val="both"/>
        <w:rPr>
          <w:rFonts w:ascii="Arial" w:hAnsi="Arial" w:cs="Arial"/>
          <w:color w:val="333333"/>
          <w:sz w:val="20"/>
          <w:szCs w:val="20"/>
          <w:lang w:eastAsia="it-IT"/>
        </w:rPr>
      </w:pPr>
      <w:r>
        <w:rPr>
          <w:rFonts w:ascii="Arial" w:hAnsi="Arial" w:cs="Arial"/>
          <w:color w:val="333333"/>
          <w:sz w:val="20"/>
          <w:szCs w:val="20"/>
          <w:lang w:eastAsia="it-IT"/>
        </w:rPr>
        <w:t xml:space="preserve">*Ai conti correnti bancari (32 milioni) e postali (6milioni) si devono aggiungere i libretti di risparmio ed i buoni </w:t>
      </w:r>
    </w:p>
    <w:p w:rsidR="00AC4008" w:rsidRDefault="00AC4008" w:rsidP="00AC4008">
      <w:pPr>
        <w:spacing w:after="0" w:line="240" w:lineRule="auto"/>
        <w:jc w:val="both"/>
        <w:rPr>
          <w:rFonts w:ascii="Arial" w:hAnsi="Arial" w:cs="Arial"/>
          <w:i/>
          <w:iCs/>
          <w:color w:val="333333"/>
          <w:sz w:val="20"/>
          <w:szCs w:val="20"/>
          <w:lang w:eastAsia="it-IT"/>
        </w:rPr>
      </w:pPr>
      <w:r>
        <w:rPr>
          <w:rFonts w:ascii="Arial" w:hAnsi="Arial" w:cs="Arial"/>
          <w:color w:val="333333"/>
          <w:sz w:val="20"/>
          <w:szCs w:val="20"/>
          <w:lang w:eastAsia="it-IT"/>
        </w:rPr>
        <w:t xml:space="preserve">postali fruttiferi (1,5 milioni) </w:t>
      </w:r>
      <w:r>
        <w:rPr>
          <w:rFonts w:ascii="Arial" w:hAnsi="Arial" w:cs="Arial"/>
          <w:i/>
          <w:iCs/>
          <w:color w:val="333333"/>
          <w:sz w:val="20"/>
          <w:szCs w:val="20"/>
          <w:lang w:eastAsia="it-IT"/>
        </w:rPr>
        <w:t>Fonte: stime ed elaborazioni Adusbef su dati ufficiali.</w:t>
      </w:r>
    </w:p>
    <w:p w:rsidR="00AC4008" w:rsidRDefault="00AC4008" w:rsidP="00AC4008">
      <w:pPr>
        <w:spacing w:after="0" w:line="240" w:lineRule="auto"/>
        <w:jc w:val="both"/>
        <w:rPr>
          <w:rFonts w:ascii="Arial" w:hAnsi="Arial" w:cs="Arial"/>
          <w:i/>
          <w:iCs/>
          <w:color w:val="333333"/>
          <w:sz w:val="20"/>
          <w:szCs w:val="20"/>
          <w:lang w:eastAsia="it-IT"/>
        </w:rPr>
      </w:pPr>
    </w:p>
    <w:p w:rsidR="00AC4008" w:rsidRPr="00AC4008" w:rsidRDefault="00AC4008" w:rsidP="00AC4008">
      <w:pPr>
        <w:pStyle w:val="Nessunaspaziatura"/>
        <w:ind w:left="0"/>
      </w:pPr>
      <w:r>
        <w:t xml:space="preserve">I depositi bancari e postali pari a 780 miliardi di euro, assieme al complesso degli incassi legati alle rendite finanziarie, quindi le cedole delle obbligazioni e tutti gli altri redditi di capitale, dovrebbero portare nel secondo semestre 2014, circa 1,3 miliardi di euro, con una crescita stimata  che si stabilizzerà a 2,8 miliardi nel 2015.   </w:t>
      </w:r>
    </w:p>
    <w:p w:rsidR="00AC4008" w:rsidRDefault="00AC4008" w:rsidP="00AC4008">
      <w:pPr>
        <w:pStyle w:val="Nessunaspaziatura"/>
        <w:ind w:left="0"/>
      </w:pPr>
      <w:r>
        <w:t>Il rincaro del 30% si abbatterà sui conti di deposito e su  tutti gli investimenti italiani, eccetto BOT,BTP e BPF (Titoli di Stato e Buoni Postali Fruttiferi), favorendo così  il vantaggio fiscale per le emissioni del Tesoro, i buoni postali e le  polizze, che restano al 12,5%.   I risparmiatori devono farsi bene i calcoli, scegliendo fra diverse opzioni: se non faranno nulla potrebbero pagare l'aliquota maggiorata, con effetto retroattivo, anche sulle vecchie plusvalenze latenti.</w:t>
      </w:r>
    </w:p>
    <w:p w:rsidR="00AC4008" w:rsidRDefault="00AC4008" w:rsidP="00AC4008">
      <w:pPr>
        <w:pStyle w:val="Nessunaspaziatura"/>
        <w:ind w:left="0"/>
      </w:pPr>
      <w:r>
        <w:t>Le  alternative sono ‘l'affrancamento’ (una vendita e riacquisto sintetica in capo agli intermediari, che riguarda l'intero portafoglio (i cui costi sono tutti da definire);  la vendita effettiva dei titoli, su cui pagare il 20% fino ad oggi, per riacquistarli domani  al regime del 26%. Né il governo, né tantomeno le banche, offrono informazioni  per aiutare correntisti e risparmiatori a districarsi nell’ennesima giungla bancari e fiscale.</w:t>
      </w:r>
    </w:p>
    <w:p w:rsidR="00AC4008" w:rsidRDefault="00AC4008" w:rsidP="00AC4008">
      <w:pPr>
        <w:pStyle w:val="Nessunaspaziatura"/>
        <w:ind w:left="0"/>
      </w:pPr>
      <w:r>
        <w:t>I ‘REGALI’ DEGLI ULTIMI 4 GOVERNI A CORRENTISTI,RISPARMIATORI,UTENTI</w:t>
      </w:r>
    </w:p>
    <w:p w:rsidR="00AC4008" w:rsidRDefault="00AC4008" w:rsidP="00AC4008">
      <w:pPr>
        <w:pStyle w:val="Nessunaspaziatura"/>
        <w:ind w:left="0"/>
      </w:pPr>
      <w:r>
        <w:t xml:space="preserve">1.Tassa sui risparmi degli italiani: 26% del guadagnato (+ 30% tranne Bot, Btp, </w:t>
      </w:r>
      <w:proofErr w:type="spellStart"/>
      <w:r>
        <w:t>Bpf</w:t>
      </w:r>
      <w:proofErr w:type="spellEnd"/>
      <w:r>
        <w:t>  ed altri  titoli di Stato);</w:t>
      </w:r>
    </w:p>
    <w:p w:rsidR="00AC4008" w:rsidRDefault="00AC4008" w:rsidP="00AC4008">
      <w:pPr>
        <w:pStyle w:val="Nessunaspaziatura"/>
        <w:ind w:left="0"/>
      </w:pPr>
      <w:r>
        <w:t>2.Imposta Bollo deposito titoli: 0,20% sul valore della “fotografia del deposito”, non sul guadagnato  ‘capital gain’ effettivo ed incassato;</w:t>
      </w:r>
    </w:p>
    <w:p w:rsidR="00AC4008" w:rsidRDefault="00AC4008" w:rsidP="00AC4008">
      <w:pPr>
        <w:pStyle w:val="Nessunaspaziatura"/>
        <w:ind w:left="0"/>
      </w:pPr>
      <w:r>
        <w:t xml:space="preserve">3.Tobin </w:t>
      </w:r>
      <w:proofErr w:type="spellStart"/>
      <w:r>
        <w:t>tax</w:t>
      </w:r>
      <w:proofErr w:type="spellEnd"/>
      <w:r>
        <w:t>: 0,10% o tabella sul controvalore di acquisto, non sul guadagno- capital gain-  ma solo perché si opera sul mercato finanziario;</w:t>
      </w:r>
    </w:p>
    <w:p w:rsidR="00AC4008" w:rsidRDefault="00AC4008" w:rsidP="00AC4008">
      <w:pPr>
        <w:pStyle w:val="Nessunaspaziatura"/>
        <w:ind w:left="0"/>
      </w:pPr>
      <w:r>
        <w:t>4.Imposta di bollo su conto corrente (34,20 euro) + commissioni di negoziazioni (variabili da intermediario a intermediario);</w:t>
      </w:r>
    </w:p>
    <w:p w:rsidR="00AC4008" w:rsidRDefault="00AC4008" w:rsidP="00AC4008">
      <w:pPr>
        <w:pStyle w:val="Nessunaspaziatura"/>
        <w:ind w:left="0"/>
      </w:pPr>
      <w:r>
        <w:t>5. Reintroduzione dell’anatocismo bancario, ‘interessi sugli interessi ‘ vietato dal codice civile e da numerose sentenze di Cassazione e Corte Costituzionale.</w:t>
      </w:r>
    </w:p>
    <w:p w:rsidR="00AC4008" w:rsidRDefault="00AC4008" w:rsidP="00AC4008">
      <w:pPr>
        <w:pStyle w:val="Nessunaspaziatura"/>
        <w:ind w:left="0"/>
      </w:pPr>
    </w:p>
    <w:p w:rsidR="00AC4008" w:rsidRDefault="00AC4008" w:rsidP="00AC4008">
      <w:pPr>
        <w:pStyle w:val="Nessunaspaziatura"/>
        <w:ind w:left="0"/>
      </w:pPr>
      <w:r>
        <w:t>               </w:t>
      </w:r>
      <w:r>
        <w:t xml:space="preserve">                      </w:t>
      </w:r>
      <w:r>
        <w:t xml:space="preserve">Elio Lannutti (Adusbef) – Rosario </w:t>
      </w:r>
      <w:proofErr w:type="spellStart"/>
      <w:r>
        <w:t>Trefiletti</w:t>
      </w:r>
      <w:proofErr w:type="spellEnd"/>
      <w:r>
        <w:t xml:space="preserve"> (Federconsumatori)</w:t>
      </w:r>
    </w:p>
    <w:p w:rsidR="00AC4008" w:rsidRDefault="00AC4008" w:rsidP="00AC4008">
      <w:pPr>
        <w:pStyle w:val="Nessunaspaziatura"/>
        <w:ind w:left="0"/>
      </w:pPr>
      <w:r>
        <w:t>Roma, 30.6.2014</w:t>
      </w:r>
    </w:p>
    <w:p w:rsidR="00C200C3" w:rsidRDefault="00C200C3" w:rsidP="00AC4008">
      <w:pPr>
        <w:pStyle w:val="Nessunaspaziatura"/>
        <w:ind w:left="0"/>
      </w:pPr>
    </w:p>
    <w:sectPr w:rsidR="00C200C3">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751984"/>
    <w:multiLevelType w:val="hybridMultilevel"/>
    <w:tmpl w:val="10E0E804"/>
    <w:lvl w:ilvl="0" w:tplc="0F324F8A">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283"/>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4008"/>
    <w:rsid w:val="00073741"/>
    <w:rsid w:val="00130235"/>
    <w:rsid w:val="001A3C40"/>
    <w:rsid w:val="001D07B7"/>
    <w:rsid w:val="001D0D71"/>
    <w:rsid w:val="002E4C34"/>
    <w:rsid w:val="00370059"/>
    <w:rsid w:val="00424BEE"/>
    <w:rsid w:val="004B0A7D"/>
    <w:rsid w:val="004B75D8"/>
    <w:rsid w:val="004F322C"/>
    <w:rsid w:val="005057D6"/>
    <w:rsid w:val="00535F48"/>
    <w:rsid w:val="005F3BF0"/>
    <w:rsid w:val="00632BCB"/>
    <w:rsid w:val="00656CF2"/>
    <w:rsid w:val="007339EC"/>
    <w:rsid w:val="00754201"/>
    <w:rsid w:val="00873879"/>
    <w:rsid w:val="0094402A"/>
    <w:rsid w:val="0098615F"/>
    <w:rsid w:val="009B4EA1"/>
    <w:rsid w:val="00A42182"/>
    <w:rsid w:val="00AC4008"/>
    <w:rsid w:val="00B03057"/>
    <w:rsid w:val="00B35AE5"/>
    <w:rsid w:val="00B90F78"/>
    <w:rsid w:val="00C200C3"/>
    <w:rsid w:val="00C55771"/>
    <w:rsid w:val="00C76E16"/>
    <w:rsid w:val="00C848D3"/>
    <w:rsid w:val="00D05D56"/>
    <w:rsid w:val="00D07FAE"/>
    <w:rsid w:val="00D136AC"/>
    <w:rsid w:val="00D709E1"/>
    <w:rsid w:val="00DB5BBF"/>
    <w:rsid w:val="00E612FB"/>
    <w:rsid w:val="00EE7D98"/>
    <w:rsid w:val="00F43ED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Gothic" w:eastAsiaTheme="minorHAnsi" w:hAnsi="Century Gothic" w:cs="Times New Roman"/>
        <w:bCs/>
        <w:iCs/>
        <w:kern w:val="36"/>
        <w:sz w:val="22"/>
        <w:szCs w:val="22"/>
        <w:lang w:val="it-IT" w:eastAsia="en-US" w:bidi="ar-SA"/>
      </w:rPr>
    </w:rPrDefault>
    <w:pPrDefault>
      <w:pPr>
        <w:spacing w:before="120" w:after="1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AC4008"/>
    <w:pPr>
      <w:spacing w:before="0" w:after="200" w:line="276" w:lineRule="auto"/>
      <w:jc w:val="left"/>
    </w:pPr>
    <w:rPr>
      <w:rFonts w:ascii="Calibri" w:hAnsi="Calibri"/>
      <w:bCs w:val="0"/>
      <w:iCs w:val="0"/>
      <w:kern w:val="0"/>
    </w:rPr>
  </w:style>
  <w:style w:type="paragraph" w:styleId="Titolo1">
    <w:name w:val="heading 1"/>
    <w:basedOn w:val="Normale"/>
    <w:link w:val="Titolo1Carattere"/>
    <w:uiPriority w:val="9"/>
    <w:qFormat/>
    <w:rsid w:val="00535F48"/>
    <w:pPr>
      <w:keepNext/>
      <w:spacing w:before="240" w:after="60" w:line="240" w:lineRule="auto"/>
      <w:ind w:left="480" w:right="34"/>
      <w:jc w:val="center"/>
      <w:outlineLvl w:val="0"/>
    </w:pPr>
    <w:rPr>
      <w:rFonts w:ascii="Century Gothic" w:hAnsi="Century Gothic" w:cs="Century Gothic"/>
      <w:b/>
      <w:bCs/>
      <w:color w:val="17365D" w:themeColor="text2" w:themeShade="BF"/>
      <w:sz w:val="32"/>
      <w:szCs w:val="32"/>
      <w:lang w:eastAsia="it-IT"/>
    </w:rPr>
  </w:style>
  <w:style w:type="paragraph" w:styleId="Titolo2">
    <w:name w:val="heading 2"/>
    <w:basedOn w:val="Normale"/>
    <w:link w:val="Titolo2Carattere"/>
    <w:qFormat/>
    <w:rsid w:val="00535F48"/>
    <w:pPr>
      <w:keepNext/>
      <w:spacing w:before="240" w:after="60" w:line="240" w:lineRule="auto"/>
      <w:jc w:val="center"/>
      <w:outlineLvl w:val="1"/>
    </w:pPr>
    <w:rPr>
      <w:rFonts w:ascii="Century Gothic" w:eastAsiaTheme="minorEastAsia" w:hAnsi="Century Gothic" w:cs="Century Gothic"/>
      <w:b/>
      <w:bCs/>
      <w:iCs/>
      <w:color w:val="17365D" w:themeColor="text2" w:themeShade="BF"/>
      <w:kern w:val="36"/>
      <w:sz w:val="28"/>
      <w:szCs w:val="16"/>
      <w:lang w:eastAsia="it-IT"/>
    </w:rPr>
  </w:style>
  <w:style w:type="paragraph" w:styleId="Titolo3">
    <w:name w:val="heading 3"/>
    <w:basedOn w:val="Normale"/>
    <w:link w:val="Titolo3Carattere"/>
    <w:uiPriority w:val="9"/>
    <w:qFormat/>
    <w:rsid w:val="00535F48"/>
    <w:pPr>
      <w:keepNext/>
      <w:spacing w:before="240" w:after="60" w:line="240" w:lineRule="auto"/>
      <w:jc w:val="center"/>
      <w:outlineLvl w:val="2"/>
    </w:pPr>
    <w:rPr>
      <w:rFonts w:ascii="Century Gothic" w:hAnsi="Century Gothic" w:cs="Century Gothic"/>
      <w:b/>
      <w:bCs/>
      <w:color w:val="17365D" w:themeColor="text2" w:themeShade="BF"/>
      <w:sz w:val="24"/>
      <w:szCs w:val="24"/>
      <w:lang w:eastAsia="it-IT"/>
    </w:rPr>
  </w:style>
  <w:style w:type="paragraph" w:styleId="Titolo4">
    <w:name w:val="heading 4"/>
    <w:basedOn w:val="Normale"/>
    <w:link w:val="Titolo4Carattere"/>
    <w:uiPriority w:val="9"/>
    <w:qFormat/>
    <w:rsid w:val="00535F48"/>
    <w:pPr>
      <w:keepNext/>
      <w:spacing w:before="240" w:after="60" w:line="240" w:lineRule="auto"/>
      <w:outlineLvl w:val="3"/>
    </w:pPr>
    <w:rPr>
      <w:rFonts w:ascii="Century Gothic" w:hAnsi="Century Gothic"/>
      <w:b/>
      <w:bCs/>
      <w:color w:val="17365D" w:themeColor="text2" w:themeShade="BF"/>
      <w:sz w:val="24"/>
      <w:szCs w:val="28"/>
      <w:lang w:eastAsia="it-IT"/>
    </w:rPr>
  </w:style>
  <w:style w:type="paragraph" w:styleId="Titolo6">
    <w:name w:val="heading 6"/>
    <w:basedOn w:val="Normale"/>
    <w:link w:val="Titolo6Carattere"/>
    <w:uiPriority w:val="9"/>
    <w:qFormat/>
    <w:rsid w:val="00130235"/>
    <w:pPr>
      <w:spacing w:before="240" w:after="60" w:line="240" w:lineRule="auto"/>
      <w:jc w:val="both"/>
      <w:outlineLvl w:val="5"/>
    </w:pPr>
    <w:rPr>
      <w:rFonts w:ascii="Times New Roman" w:hAnsi="Times New Roman"/>
      <w:b/>
      <w:bCs/>
      <w:color w:val="17365D" w:themeColor="text2" w:themeShade="BF"/>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424BEE"/>
    <w:rPr>
      <w:rFonts w:ascii="Century Gothic" w:eastAsia="SimSun" w:hAnsi="Century Gothic" w:hint="default"/>
      <w:i/>
      <w:color w:val="002776"/>
      <w:sz w:val="26"/>
      <w:szCs w:val="28"/>
      <w:u w:val="none"/>
    </w:rPr>
  </w:style>
  <w:style w:type="paragraph" w:styleId="NormaleWeb">
    <w:name w:val="Normal (Web)"/>
    <w:basedOn w:val="Normale"/>
    <w:uiPriority w:val="99"/>
    <w:unhideWhenUsed/>
    <w:rsid w:val="00424BEE"/>
    <w:pPr>
      <w:spacing w:before="100" w:beforeAutospacing="1" w:after="100" w:afterAutospacing="1" w:line="240" w:lineRule="auto"/>
      <w:jc w:val="both"/>
    </w:pPr>
    <w:rPr>
      <w:rFonts w:ascii="Century Gothic" w:eastAsia="Times New Roman" w:hAnsi="Century Gothic" w:cs="Century Gothic"/>
      <w:bCs/>
      <w:iCs/>
      <w:color w:val="17365D" w:themeColor="text2" w:themeShade="BF"/>
      <w:kern w:val="36"/>
      <w:sz w:val="24"/>
      <w:szCs w:val="24"/>
      <w:lang w:eastAsia="it-IT"/>
    </w:rPr>
  </w:style>
  <w:style w:type="character" w:customStyle="1" w:styleId="Titolo1Carattere">
    <w:name w:val="Titolo 1 Carattere"/>
    <w:basedOn w:val="Carpredefinitoparagrafo"/>
    <w:link w:val="Titolo1"/>
    <w:uiPriority w:val="9"/>
    <w:rsid w:val="00535F48"/>
    <w:rPr>
      <w:rFonts w:cs="Century Gothic"/>
      <w:b/>
      <w:iCs w:val="0"/>
      <w:color w:val="17365D" w:themeColor="text2" w:themeShade="BF"/>
      <w:kern w:val="0"/>
      <w:sz w:val="32"/>
      <w:szCs w:val="32"/>
      <w:lang w:eastAsia="it-IT"/>
    </w:rPr>
  </w:style>
  <w:style w:type="paragraph" w:styleId="Titolo">
    <w:name w:val="Title"/>
    <w:basedOn w:val="Normale"/>
    <w:link w:val="TitoloCarattere"/>
    <w:uiPriority w:val="10"/>
    <w:qFormat/>
    <w:rsid w:val="001D0D71"/>
    <w:pPr>
      <w:spacing w:before="240" w:after="60" w:line="240" w:lineRule="auto"/>
      <w:jc w:val="center"/>
    </w:pPr>
    <w:rPr>
      <w:rFonts w:ascii="Century Gothic" w:hAnsi="Century Gothic" w:cs="Arial"/>
      <w:b/>
      <w:bCs/>
      <w:color w:val="17365D" w:themeColor="text2" w:themeShade="BF"/>
      <w:sz w:val="34"/>
      <w:szCs w:val="32"/>
      <w:lang w:eastAsia="it-IT"/>
    </w:rPr>
  </w:style>
  <w:style w:type="character" w:customStyle="1" w:styleId="TitoloCarattere">
    <w:name w:val="Titolo Carattere"/>
    <w:basedOn w:val="Carpredefinitoparagrafo"/>
    <w:link w:val="Titolo"/>
    <w:uiPriority w:val="10"/>
    <w:rsid w:val="001D0D71"/>
    <w:rPr>
      <w:rFonts w:cs="Arial"/>
      <w:b/>
      <w:iCs w:val="0"/>
      <w:color w:val="17365D" w:themeColor="text2" w:themeShade="BF"/>
      <w:kern w:val="0"/>
      <w:sz w:val="34"/>
      <w:szCs w:val="32"/>
      <w:lang w:eastAsia="it-IT"/>
    </w:rPr>
  </w:style>
  <w:style w:type="paragraph" w:styleId="Sottotitolo">
    <w:name w:val="Subtitle"/>
    <w:basedOn w:val="Normale"/>
    <w:next w:val="Normale"/>
    <w:link w:val="SottotitoloCarattere"/>
    <w:uiPriority w:val="11"/>
    <w:qFormat/>
    <w:rsid w:val="00130235"/>
    <w:pPr>
      <w:numPr>
        <w:ilvl w:val="1"/>
      </w:numPr>
      <w:spacing w:before="120" w:after="120" w:line="240" w:lineRule="auto"/>
      <w:ind w:left="600" w:firstLine="567"/>
      <w:jc w:val="both"/>
    </w:pPr>
    <w:rPr>
      <w:rFonts w:asciiTheme="majorHAnsi" w:eastAsiaTheme="majorEastAsia" w:hAnsiTheme="majorHAnsi" w:cstheme="majorBidi"/>
      <w:i/>
      <w:iCs/>
      <w:color w:val="4F81BD" w:themeColor="accent1"/>
      <w:spacing w:val="15"/>
      <w:sz w:val="24"/>
      <w:szCs w:val="24"/>
      <w:lang w:eastAsia="it-IT"/>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ind w:left="170" w:right="-39"/>
    </w:pPr>
    <w:rPr>
      <w:rFonts w:cs="Century Gothic"/>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ind w:left="720"/>
    </w:p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1"/>
    <w:semiHidden/>
    <w:qFormat/>
    <w:rsid w:val="00130235"/>
    <w:pPr>
      <w:ind w:left="2160"/>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535F48"/>
    <w:rPr>
      <w:rFonts w:eastAsiaTheme="minorEastAsia" w:cs="Century Gothic"/>
      <w:b/>
      <w:color w:val="17365D" w:themeColor="text2" w:themeShade="BF"/>
      <w:sz w:val="28"/>
      <w:szCs w:val="16"/>
      <w:lang w:eastAsia="it-IT"/>
    </w:rPr>
  </w:style>
  <w:style w:type="character" w:customStyle="1" w:styleId="Titolo3Carattere">
    <w:name w:val="Titolo 3 Carattere"/>
    <w:basedOn w:val="Carpredefinitoparagrafo"/>
    <w:link w:val="Titolo3"/>
    <w:uiPriority w:val="9"/>
    <w:rsid w:val="00535F48"/>
    <w:rPr>
      <w:rFonts w:cs="Century Gothic"/>
      <w:b/>
      <w:iCs w:val="0"/>
      <w:color w:val="17365D" w:themeColor="text2" w:themeShade="BF"/>
      <w:kern w:val="0"/>
      <w:sz w:val="24"/>
      <w:szCs w:val="24"/>
      <w:lang w:eastAsia="it-IT"/>
    </w:rPr>
  </w:style>
  <w:style w:type="character" w:customStyle="1" w:styleId="Titolo4Carattere">
    <w:name w:val="Titolo 4 Carattere"/>
    <w:basedOn w:val="Carpredefinitoparagrafo"/>
    <w:link w:val="Titolo4"/>
    <w:uiPriority w:val="9"/>
    <w:rsid w:val="00535F48"/>
    <w:rPr>
      <w:b/>
      <w:iCs w:val="0"/>
      <w:color w:val="17365D" w:themeColor="text2" w:themeShade="BF"/>
      <w:kern w:val="0"/>
      <w:sz w:val="24"/>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spacing w:before="120" w:after="120" w:line="240" w:lineRule="auto"/>
      <w:ind w:right="-2"/>
      <w:jc w:val="both"/>
    </w:pPr>
    <w:rPr>
      <w:rFonts w:ascii="Century Gothic" w:hAnsi="Century Gothic"/>
      <w:color w:val="17365D" w:themeColor="text2" w:themeShade="BF"/>
      <w:sz w:val="24"/>
      <w:szCs w:val="24"/>
      <w:lang w:eastAsia="it-IT"/>
    </w:rPr>
  </w:style>
  <w:style w:type="paragraph" w:styleId="Sommario3">
    <w:name w:val="toc 3"/>
    <w:basedOn w:val="Normale"/>
    <w:autoRedefine/>
    <w:uiPriority w:val="39"/>
    <w:semiHidden/>
    <w:unhideWhenUsed/>
    <w:rsid w:val="00130235"/>
    <w:pPr>
      <w:spacing w:before="120" w:after="120" w:line="240" w:lineRule="auto"/>
      <w:ind w:left="440"/>
      <w:jc w:val="both"/>
    </w:pPr>
    <w:rPr>
      <w:rFonts w:ascii="Times New Roman" w:hAnsi="Times New Roman"/>
      <w:color w:val="17365D" w:themeColor="text2" w:themeShade="BF"/>
      <w:sz w:val="24"/>
      <w:szCs w:val="24"/>
      <w:lang w:eastAsia="it-IT"/>
    </w:rPr>
  </w:style>
  <w:style w:type="paragraph" w:styleId="Testonotaapidipagina">
    <w:name w:val="footnote text"/>
    <w:basedOn w:val="Normale"/>
    <w:link w:val="TestonotaapidipaginaCarattere"/>
    <w:uiPriority w:val="99"/>
    <w:semiHidden/>
    <w:unhideWhenUsed/>
    <w:rsid w:val="00130235"/>
    <w:pPr>
      <w:spacing w:before="120" w:after="120" w:line="240" w:lineRule="auto"/>
      <w:jc w:val="both"/>
    </w:pPr>
    <w:rPr>
      <w:rFonts w:ascii="Times New Roman" w:hAnsi="Times New Roman"/>
      <w:color w:val="17365D" w:themeColor="text2" w:themeShade="BF"/>
      <w:sz w:val="24"/>
      <w:szCs w:val="24"/>
      <w:lang w:eastAsia="it-IT"/>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pPr>
      <w:spacing w:before="120" w:after="120" w:line="240" w:lineRule="auto"/>
      <w:jc w:val="both"/>
    </w:pPr>
    <w:rPr>
      <w:rFonts w:ascii="Times New Roman" w:hAnsi="Times New Roman"/>
      <w:color w:val="17365D" w:themeColor="text2" w:themeShade="BF"/>
      <w:sz w:val="24"/>
      <w:szCs w:val="24"/>
      <w:lang w:eastAsia="it-IT"/>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pPr>
      <w:spacing w:before="120" w:after="120" w:line="240" w:lineRule="auto"/>
      <w:jc w:val="both"/>
    </w:pPr>
    <w:rPr>
      <w:rFonts w:ascii="Times New Roman" w:hAnsi="Times New Roman"/>
      <w:color w:val="17365D" w:themeColor="text2" w:themeShade="BF"/>
      <w:sz w:val="24"/>
      <w:szCs w:val="24"/>
      <w:lang w:eastAsia="it-IT"/>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pPr>
      <w:spacing w:before="120" w:after="120" w:line="240" w:lineRule="auto"/>
      <w:jc w:val="both"/>
    </w:pPr>
    <w:rPr>
      <w:rFonts w:ascii="Century Gothic" w:hAnsi="Century Gothic"/>
      <w:color w:val="17365D" w:themeColor="text2" w:themeShade="BF"/>
      <w:sz w:val="24"/>
      <w:szCs w:val="24"/>
      <w:lang w:eastAsia="it-IT"/>
    </w:rPr>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spacing w:before="120" w:after="120" w:line="240" w:lineRule="auto"/>
      <w:ind w:left="480"/>
      <w:jc w:val="both"/>
    </w:pPr>
    <w:rPr>
      <w:rFonts w:ascii="Century Gothic" w:hAnsi="Century Gothic"/>
      <w:color w:val="FF0000"/>
      <w:sz w:val="18"/>
      <w:szCs w:val="18"/>
      <w:lang w:eastAsia="it-IT"/>
    </w:rPr>
  </w:style>
  <w:style w:type="paragraph" w:styleId="Testonormale">
    <w:name w:val="Plain Text"/>
    <w:basedOn w:val="Normale"/>
    <w:link w:val="TestonormaleCarattere"/>
    <w:uiPriority w:val="99"/>
    <w:semiHidden/>
    <w:unhideWhenUsed/>
    <w:rsid w:val="00130235"/>
    <w:pPr>
      <w:spacing w:before="120" w:after="120" w:line="240" w:lineRule="auto"/>
      <w:jc w:val="both"/>
    </w:pPr>
    <w:rPr>
      <w:color w:val="17365D" w:themeColor="text2" w:themeShade="BF"/>
      <w:sz w:val="24"/>
      <w:szCs w:val="21"/>
      <w:lang w:eastAsia="it-IT"/>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pPr>
      <w:spacing w:before="120" w:after="120" w:line="240" w:lineRule="auto"/>
      <w:jc w:val="both"/>
    </w:pPr>
    <w:rPr>
      <w:rFonts w:ascii="Tahoma" w:hAnsi="Tahoma" w:cs="Tahoma"/>
      <w:color w:val="17365D" w:themeColor="text2" w:themeShade="BF"/>
      <w:sz w:val="24"/>
      <w:szCs w:val="24"/>
      <w:lang w:eastAsia="it-IT"/>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rPr>
      <w:rFonts w:ascii="Times New Roman" w:hAnsi="Times New Roman"/>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essunaspaziatura">
    <w:name w:val="No Spacing"/>
    <w:basedOn w:val="Normale"/>
    <w:uiPriority w:val="1"/>
    <w:qFormat/>
    <w:rsid w:val="00130235"/>
    <w:pPr>
      <w:spacing w:before="120" w:after="120" w:line="240" w:lineRule="auto"/>
      <w:ind w:left="2160"/>
      <w:jc w:val="both"/>
    </w:pPr>
    <w:rPr>
      <w:rFonts w:ascii="Century Gothic" w:hAnsi="Century Gothic"/>
      <w:color w:val="0F243E"/>
      <w:sz w:val="24"/>
      <w:szCs w:val="24"/>
      <w:lang w:eastAsia="it-IT"/>
    </w:rPr>
  </w:style>
  <w:style w:type="paragraph" w:styleId="Paragrafoelenco">
    <w:name w:val="List Paragraph"/>
    <w:basedOn w:val="Normale"/>
    <w:uiPriority w:val="34"/>
    <w:qFormat/>
    <w:rsid w:val="00130235"/>
    <w:pPr>
      <w:spacing w:before="120" w:after="120" w:line="240" w:lineRule="auto"/>
      <w:ind w:left="720"/>
      <w:jc w:val="both"/>
    </w:pPr>
    <w:rPr>
      <w:rFonts w:ascii="Century Gothic" w:hAnsi="Century Gothic"/>
      <w:color w:val="17365D" w:themeColor="text2" w:themeShade="BF"/>
      <w:sz w:val="24"/>
      <w:szCs w:val="24"/>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Gothic" w:eastAsiaTheme="minorHAnsi" w:hAnsi="Century Gothic" w:cs="Times New Roman"/>
        <w:bCs/>
        <w:iCs/>
        <w:kern w:val="36"/>
        <w:sz w:val="22"/>
        <w:szCs w:val="22"/>
        <w:lang w:val="it-IT" w:eastAsia="en-US" w:bidi="ar-SA"/>
      </w:rPr>
    </w:rPrDefault>
    <w:pPrDefault>
      <w:pPr>
        <w:spacing w:before="120" w:after="1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AC4008"/>
    <w:pPr>
      <w:spacing w:before="0" w:after="200" w:line="276" w:lineRule="auto"/>
      <w:jc w:val="left"/>
    </w:pPr>
    <w:rPr>
      <w:rFonts w:ascii="Calibri" w:hAnsi="Calibri"/>
      <w:bCs w:val="0"/>
      <w:iCs w:val="0"/>
      <w:kern w:val="0"/>
    </w:rPr>
  </w:style>
  <w:style w:type="paragraph" w:styleId="Titolo1">
    <w:name w:val="heading 1"/>
    <w:basedOn w:val="Normale"/>
    <w:link w:val="Titolo1Carattere"/>
    <w:uiPriority w:val="9"/>
    <w:qFormat/>
    <w:rsid w:val="00535F48"/>
    <w:pPr>
      <w:keepNext/>
      <w:spacing w:before="240" w:after="60" w:line="240" w:lineRule="auto"/>
      <w:ind w:left="480" w:right="34"/>
      <w:jc w:val="center"/>
      <w:outlineLvl w:val="0"/>
    </w:pPr>
    <w:rPr>
      <w:rFonts w:ascii="Century Gothic" w:hAnsi="Century Gothic" w:cs="Century Gothic"/>
      <w:b/>
      <w:bCs/>
      <w:color w:val="17365D" w:themeColor="text2" w:themeShade="BF"/>
      <w:sz w:val="32"/>
      <w:szCs w:val="32"/>
      <w:lang w:eastAsia="it-IT"/>
    </w:rPr>
  </w:style>
  <w:style w:type="paragraph" w:styleId="Titolo2">
    <w:name w:val="heading 2"/>
    <w:basedOn w:val="Normale"/>
    <w:link w:val="Titolo2Carattere"/>
    <w:qFormat/>
    <w:rsid w:val="00535F48"/>
    <w:pPr>
      <w:keepNext/>
      <w:spacing w:before="240" w:after="60" w:line="240" w:lineRule="auto"/>
      <w:jc w:val="center"/>
      <w:outlineLvl w:val="1"/>
    </w:pPr>
    <w:rPr>
      <w:rFonts w:ascii="Century Gothic" w:eastAsiaTheme="minorEastAsia" w:hAnsi="Century Gothic" w:cs="Century Gothic"/>
      <w:b/>
      <w:bCs/>
      <w:iCs/>
      <w:color w:val="17365D" w:themeColor="text2" w:themeShade="BF"/>
      <w:kern w:val="36"/>
      <w:sz w:val="28"/>
      <w:szCs w:val="16"/>
      <w:lang w:eastAsia="it-IT"/>
    </w:rPr>
  </w:style>
  <w:style w:type="paragraph" w:styleId="Titolo3">
    <w:name w:val="heading 3"/>
    <w:basedOn w:val="Normale"/>
    <w:link w:val="Titolo3Carattere"/>
    <w:uiPriority w:val="9"/>
    <w:qFormat/>
    <w:rsid w:val="00535F48"/>
    <w:pPr>
      <w:keepNext/>
      <w:spacing w:before="240" w:after="60" w:line="240" w:lineRule="auto"/>
      <w:jc w:val="center"/>
      <w:outlineLvl w:val="2"/>
    </w:pPr>
    <w:rPr>
      <w:rFonts w:ascii="Century Gothic" w:hAnsi="Century Gothic" w:cs="Century Gothic"/>
      <w:b/>
      <w:bCs/>
      <w:color w:val="17365D" w:themeColor="text2" w:themeShade="BF"/>
      <w:sz w:val="24"/>
      <w:szCs w:val="24"/>
      <w:lang w:eastAsia="it-IT"/>
    </w:rPr>
  </w:style>
  <w:style w:type="paragraph" w:styleId="Titolo4">
    <w:name w:val="heading 4"/>
    <w:basedOn w:val="Normale"/>
    <w:link w:val="Titolo4Carattere"/>
    <w:uiPriority w:val="9"/>
    <w:qFormat/>
    <w:rsid w:val="00535F48"/>
    <w:pPr>
      <w:keepNext/>
      <w:spacing w:before="240" w:after="60" w:line="240" w:lineRule="auto"/>
      <w:outlineLvl w:val="3"/>
    </w:pPr>
    <w:rPr>
      <w:rFonts w:ascii="Century Gothic" w:hAnsi="Century Gothic"/>
      <w:b/>
      <w:bCs/>
      <w:color w:val="17365D" w:themeColor="text2" w:themeShade="BF"/>
      <w:sz w:val="24"/>
      <w:szCs w:val="28"/>
      <w:lang w:eastAsia="it-IT"/>
    </w:rPr>
  </w:style>
  <w:style w:type="paragraph" w:styleId="Titolo6">
    <w:name w:val="heading 6"/>
    <w:basedOn w:val="Normale"/>
    <w:link w:val="Titolo6Carattere"/>
    <w:uiPriority w:val="9"/>
    <w:qFormat/>
    <w:rsid w:val="00130235"/>
    <w:pPr>
      <w:spacing w:before="240" w:after="60" w:line="240" w:lineRule="auto"/>
      <w:jc w:val="both"/>
      <w:outlineLvl w:val="5"/>
    </w:pPr>
    <w:rPr>
      <w:rFonts w:ascii="Times New Roman" w:hAnsi="Times New Roman"/>
      <w:b/>
      <w:bCs/>
      <w:color w:val="17365D" w:themeColor="text2" w:themeShade="BF"/>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424BEE"/>
    <w:rPr>
      <w:rFonts w:ascii="Century Gothic" w:eastAsia="SimSun" w:hAnsi="Century Gothic" w:hint="default"/>
      <w:i/>
      <w:color w:val="002776"/>
      <w:sz w:val="26"/>
      <w:szCs w:val="28"/>
      <w:u w:val="none"/>
    </w:rPr>
  </w:style>
  <w:style w:type="paragraph" w:styleId="NormaleWeb">
    <w:name w:val="Normal (Web)"/>
    <w:basedOn w:val="Normale"/>
    <w:uiPriority w:val="99"/>
    <w:unhideWhenUsed/>
    <w:rsid w:val="00424BEE"/>
    <w:pPr>
      <w:spacing w:before="100" w:beforeAutospacing="1" w:after="100" w:afterAutospacing="1" w:line="240" w:lineRule="auto"/>
      <w:jc w:val="both"/>
    </w:pPr>
    <w:rPr>
      <w:rFonts w:ascii="Century Gothic" w:eastAsia="Times New Roman" w:hAnsi="Century Gothic" w:cs="Century Gothic"/>
      <w:bCs/>
      <w:iCs/>
      <w:color w:val="17365D" w:themeColor="text2" w:themeShade="BF"/>
      <w:kern w:val="36"/>
      <w:sz w:val="24"/>
      <w:szCs w:val="24"/>
      <w:lang w:eastAsia="it-IT"/>
    </w:rPr>
  </w:style>
  <w:style w:type="character" w:customStyle="1" w:styleId="Titolo1Carattere">
    <w:name w:val="Titolo 1 Carattere"/>
    <w:basedOn w:val="Carpredefinitoparagrafo"/>
    <w:link w:val="Titolo1"/>
    <w:uiPriority w:val="9"/>
    <w:rsid w:val="00535F48"/>
    <w:rPr>
      <w:rFonts w:cs="Century Gothic"/>
      <w:b/>
      <w:iCs w:val="0"/>
      <w:color w:val="17365D" w:themeColor="text2" w:themeShade="BF"/>
      <w:kern w:val="0"/>
      <w:sz w:val="32"/>
      <w:szCs w:val="32"/>
      <w:lang w:eastAsia="it-IT"/>
    </w:rPr>
  </w:style>
  <w:style w:type="paragraph" w:styleId="Titolo">
    <w:name w:val="Title"/>
    <w:basedOn w:val="Normale"/>
    <w:link w:val="TitoloCarattere"/>
    <w:uiPriority w:val="10"/>
    <w:qFormat/>
    <w:rsid w:val="001D0D71"/>
    <w:pPr>
      <w:spacing w:before="240" w:after="60" w:line="240" w:lineRule="auto"/>
      <w:jc w:val="center"/>
    </w:pPr>
    <w:rPr>
      <w:rFonts w:ascii="Century Gothic" w:hAnsi="Century Gothic" w:cs="Arial"/>
      <w:b/>
      <w:bCs/>
      <w:color w:val="17365D" w:themeColor="text2" w:themeShade="BF"/>
      <w:sz w:val="34"/>
      <w:szCs w:val="32"/>
      <w:lang w:eastAsia="it-IT"/>
    </w:rPr>
  </w:style>
  <w:style w:type="character" w:customStyle="1" w:styleId="TitoloCarattere">
    <w:name w:val="Titolo Carattere"/>
    <w:basedOn w:val="Carpredefinitoparagrafo"/>
    <w:link w:val="Titolo"/>
    <w:uiPriority w:val="10"/>
    <w:rsid w:val="001D0D71"/>
    <w:rPr>
      <w:rFonts w:cs="Arial"/>
      <w:b/>
      <w:iCs w:val="0"/>
      <w:color w:val="17365D" w:themeColor="text2" w:themeShade="BF"/>
      <w:kern w:val="0"/>
      <w:sz w:val="34"/>
      <w:szCs w:val="32"/>
      <w:lang w:eastAsia="it-IT"/>
    </w:rPr>
  </w:style>
  <w:style w:type="paragraph" w:styleId="Sottotitolo">
    <w:name w:val="Subtitle"/>
    <w:basedOn w:val="Normale"/>
    <w:next w:val="Normale"/>
    <w:link w:val="SottotitoloCarattere"/>
    <w:uiPriority w:val="11"/>
    <w:qFormat/>
    <w:rsid w:val="00130235"/>
    <w:pPr>
      <w:numPr>
        <w:ilvl w:val="1"/>
      </w:numPr>
      <w:spacing w:before="120" w:after="120" w:line="240" w:lineRule="auto"/>
      <w:ind w:left="600" w:firstLine="567"/>
      <w:jc w:val="both"/>
    </w:pPr>
    <w:rPr>
      <w:rFonts w:asciiTheme="majorHAnsi" w:eastAsiaTheme="majorEastAsia" w:hAnsiTheme="majorHAnsi" w:cstheme="majorBidi"/>
      <w:i/>
      <w:iCs/>
      <w:color w:val="4F81BD" w:themeColor="accent1"/>
      <w:spacing w:val="15"/>
      <w:sz w:val="24"/>
      <w:szCs w:val="24"/>
      <w:lang w:eastAsia="it-IT"/>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ind w:left="170" w:right="-39"/>
    </w:pPr>
    <w:rPr>
      <w:rFonts w:cs="Century Gothic"/>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ind w:left="720"/>
    </w:p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1"/>
    <w:semiHidden/>
    <w:qFormat/>
    <w:rsid w:val="00130235"/>
    <w:pPr>
      <w:ind w:left="2160"/>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535F48"/>
    <w:rPr>
      <w:rFonts w:eastAsiaTheme="minorEastAsia" w:cs="Century Gothic"/>
      <w:b/>
      <w:color w:val="17365D" w:themeColor="text2" w:themeShade="BF"/>
      <w:sz w:val="28"/>
      <w:szCs w:val="16"/>
      <w:lang w:eastAsia="it-IT"/>
    </w:rPr>
  </w:style>
  <w:style w:type="character" w:customStyle="1" w:styleId="Titolo3Carattere">
    <w:name w:val="Titolo 3 Carattere"/>
    <w:basedOn w:val="Carpredefinitoparagrafo"/>
    <w:link w:val="Titolo3"/>
    <w:uiPriority w:val="9"/>
    <w:rsid w:val="00535F48"/>
    <w:rPr>
      <w:rFonts w:cs="Century Gothic"/>
      <w:b/>
      <w:iCs w:val="0"/>
      <w:color w:val="17365D" w:themeColor="text2" w:themeShade="BF"/>
      <w:kern w:val="0"/>
      <w:sz w:val="24"/>
      <w:szCs w:val="24"/>
      <w:lang w:eastAsia="it-IT"/>
    </w:rPr>
  </w:style>
  <w:style w:type="character" w:customStyle="1" w:styleId="Titolo4Carattere">
    <w:name w:val="Titolo 4 Carattere"/>
    <w:basedOn w:val="Carpredefinitoparagrafo"/>
    <w:link w:val="Titolo4"/>
    <w:uiPriority w:val="9"/>
    <w:rsid w:val="00535F48"/>
    <w:rPr>
      <w:b/>
      <w:iCs w:val="0"/>
      <w:color w:val="17365D" w:themeColor="text2" w:themeShade="BF"/>
      <w:kern w:val="0"/>
      <w:sz w:val="24"/>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spacing w:before="120" w:after="120" w:line="240" w:lineRule="auto"/>
      <w:ind w:right="-2"/>
      <w:jc w:val="both"/>
    </w:pPr>
    <w:rPr>
      <w:rFonts w:ascii="Century Gothic" w:hAnsi="Century Gothic"/>
      <w:color w:val="17365D" w:themeColor="text2" w:themeShade="BF"/>
      <w:sz w:val="24"/>
      <w:szCs w:val="24"/>
      <w:lang w:eastAsia="it-IT"/>
    </w:rPr>
  </w:style>
  <w:style w:type="paragraph" w:styleId="Sommario3">
    <w:name w:val="toc 3"/>
    <w:basedOn w:val="Normale"/>
    <w:autoRedefine/>
    <w:uiPriority w:val="39"/>
    <w:semiHidden/>
    <w:unhideWhenUsed/>
    <w:rsid w:val="00130235"/>
    <w:pPr>
      <w:spacing w:before="120" w:after="120" w:line="240" w:lineRule="auto"/>
      <w:ind w:left="440"/>
      <w:jc w:val="both"/>
    </w:pPr>
    <w:rPr>
      <w:rFonts w:ascii="Times New Roman" w:hAnsi="Times New Roman"/>
      <w:color w:val="17365D" w:themeColor="text2" w:themeShade="BF"/>
      <w:sz w:val="24"/>
      <w:szCs w:val="24"/>
      <w:lang w:eastAsia="it-IT"/>
    </w:rPr>
  </w:style>
  <w:style w:type="paragraph" w:styleId="Testonotaapidipagina">
    <w:name w:val="footnote text"/>
    <w:basedOn w:val="Normale"/>
    <w:link w:val="TestonotaapidipaginaCarattere"/>
    <w:uiPriority w:val="99"/>
    <w:semiHidden/>
    <w:unhideWhenUsed/>
    <w:rsid w:val="00130235"/>
    <w:pPr>
      <w:spacing w:before="120" w:after="120" w:line="240" w:lineRule="auto"/>
      <w:jc w:val="both"/>
    </w:pPr>
    <w:rPr>
      <w:rFonts w:ascii="Times New Roman" w:hAnsi="Times New Roman"/>
      <w:color w:val="17365D" w:themeColor="text2" w:themeShade="BF"/>
      <w:sz w:val="24"/>
      <w:szCs w:val="24"/>
      <w:lang w:eastAsia="it-IT"/>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pPr>
      <w:spacing w:before="120" w:after="120" w:line="240" w:lineRule="auto"/>
      <w:jc w:val="both"/>
    </w:pPr>
    <w:rPr>
      <w:rFonts w:ascii="Times New Roman" w:hAnsi="Times New Roman"/>
      <w:color w:val="17365D" w:themeColor="text2" w:themeShade="BF"/>
      <w:sz w:val="24"/>
      <w:szCs w:val="24"/>
      <w:lang w:eastAsia="it-IT"/>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pPr>
      <w:spacing w:before="120" w:after="120" w:line="240" w:lineRule="auto"/>
      <w:jc w:val="both"/>
    </w:pPr>
    <w:rPr>
      <w:rFonts w:ascii="Times New Roman" w:hAnsi="Times New Roman"/>
      <w:color w:val="17365D" w:themeColor="text2" w:themeShade="BF"/>
      <w:sz w:val="24"/>
      <w:szCs w:val="24"/>
      <w:lang w:eastAsia="it-IT"/>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pPr>
      <w:spacing w:before="120" w:after="120" w:line="240" w:lineRule="auto"/>
      <w:jc w:val="both"/>
    </w:pPr>
    <w:rPr>
      <w:rFonts w:ascii="Century Gothic" w:hAnsi="Century Gothic"/>
      <w:color w:val="17365D" w:themeColor="text2" w:themeShade="BF"/>
      <w:sz w:val="24"/>
      <w:szCs w:val="24"/>
      <w:lang w:eastAsia="it-IT"/>
    </w:rPr>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spacing w:before="120" w:after="120" w:line="240" w:lineRule="auto"/>
      <w:ind w:left="480"/>
      <w:jc w:val="both"/>
    </w:pPr>
    <w:rPr>
      <w:rFonts w:ascii="Century Gothic" w:hAnsi="Century Gothic"/>
      <w:color w:val="FF0000"/>
      <w:sz w:val="18"/>
      <w:szCs w:val="18"/>
      <w:lang w:eastAsia="it-IT"/>
    </w:rPr>
  </w:style>
  <w:style w:type="paragraph" w:styleId="Testonormale">
    <w:name w:val="Plain Text"/>
    <w:basedOn w:val="Normale"/>
    <w:link w:val="TestonormaleCarattere"/>
    <w:uiPriority w:val="99"/>
    <w:semiHidden/>
    <w:unhideWhenUsed/>
    <w:rsid w:val="00130235"/>
    <w:pPr>
      <w:spacing w:before="120" w:after="120" w:line="240" w:lineRule="auto"/>
      <w:jc w:val="both"/>
    </w:pPr>
    <w:rPr>
      <w:color w:val="17365D" w:themeColor="text2" w:themeShade="BF"/>
      <w:sz w:val="24"/>
      <w:szCs w:val="21"/>
      <w:lang w:eastAsia="it-IT"/>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pPr>
      <w:spacing w:before="120" w:after="120" w:line="240" w:lineRule="auto"/>
      <w:jc w:val="both"/>
    </w:pPr>
    <w:rPr>
      <w:rFonts w:ascii="Tahoma" w:hAnsi="Tahoma" w:cs="Tahoma"/>
      <w:color w:val="17365D" w:themeColor="text2" w:themeShade="BF"/>
      <w:sz w:val="24"/>
      <w:szCs w:val="24"/>
      <w:lang w:eastAsia="it-IT"/>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rPr>
      <w:rFonts w:ascii="Times New Roman" w:hAnsi="Times New Roman"/>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essunaspaziatura">
    <w:name w:val="No Spacing"/>
    <w:basedOn w:val="Normale"/>
    <w:uiPriority w:val="1"/>
    <w:qFormat/>
    <w:rsid w:val="00130235"/>
    <w:pPr>
      <w:spacing w:before="120" w:after="120" w:line="240" w:lineRule="auto"/>
      <w:ind w:left="2160"/>
      <w:jc w:val="both"/>
    </w:pPr>
    <w:rPr>
      <w:rFonts w:ascii="Century Gothic" w:hAnsi="Century Gothic"/>
      <w:color w:val="0F243E"/>
      <w:sz w:val="24"/>
      <w:szCs w:val="24"/>
      <w:lang w:eastAsia="it-IT"/>
    </w:rPr>
  </w:style>
  <w:style w:type="paragraph" w:styleId="Paragrafoelenco">
    <w:name w:val="List Paragraph"/>
    <w:basedOn w:val="Normale"/>
    <w:uiPriority w:val="34"/>
    <w:qFormat/>
    <w:rsid w:val="00130235"/>
    <w:pPr>
      <w:spacing w:before="120" w:after="120" w:line="240" w:lineRule="auto"/>
      <w:ind w:left="720"/>
      <w:jc w:val="both"/>
    </w:pPr>
    <w:rPr>
      <w:rFonts w:ascii="Century Gothic" w:hAnsi="Century Gothic"/>
      <w:color w:val="17365D" w:themeColor="text2" w:themeShade="BF"/>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4095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938</Words>
  <Characters>5349</Characters>
  <Application>Microsoft Office Word</Application>
  <DocSecurity>0</DocSecurity>
  <Lines>44</Lines>
  <Paragraphs>12</Paragraphs>
  <ScaleCrop>false</ScaleCrop>
  <Company/>
  <LinksUpToDate>false</LinksUpToDate>
  <CharactersWithSpaces>6275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Mauro Novelli</dc:creator>
  <cp:lastModifiedBy>Mauro Novelli</cp:lastModifiedBy>
  <cp:revision>2</cp:revision>
  <dcterms:created xsi:type="dcterms:W3CDTF">2014-06-30T12:16:00Z</dcterms:created>
  <dcterms:modified xsi:type="dcterms:W3CDTF">2014-06-30T12:19:00Z</dcterms:modified>
</cp:coreProperties>
</file>