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1D" w:rsidRDefault="00406F1D" w:rsidP="00CC22E3">
      <w:pPr>
        <w:jc w:val="center"/>
        <w:rPr>
          <w:rFonts w:ascii="Times New Roman" w:hAnsi="Times New Roman" w:cs="Times New Roman"/>
          <w:sz w:val="24"/>
          <w:szCs w:val="24"/>
          <w:lang w:eastAsia="it-IT"/>
        </w:rPr>
      </w:pPr>
      <w:r>
        <w:rPr>
          <w:rFonts w:ascii="Times New Roman" w:hAnsi="Times New Roman" w:cs="Times New Roman"/>
          <w:sz w:val="24"/>
          <w:szCs w:val="24"/>
          <w:lang w:eastAsia="it-IT"/>
        </w:rPr>
        <w:t>COMUNICATO STAMPA</w:t>
      </w:r>
    </w:p>
    <w:p w:rsidR="00406F1D" w:rsidRDefault="00406F1D" w:rsidP="00CC22E3">
      <w:pPr>
        <w:jc w:val="center"/>
        <w:rPr>
          <w:rFonts w:ascii="Times New Roman" w:hAnsi="Times New Roman" w:cs="Times New Roman"/>
          <w:sz w:val="24"/>
          <w:szCs w:val="24"/>
          <w:lang w:eastAsia="it-IT"/>
        </w:rPr>
      </w:pPr>
      <w:r>
        <w:rPr>
          <w:rFonts w:ascii="Times New Roman" w:hAnsi="Times New Roman" w:cs="Times New Roman"/>
          <w:sz w:val="24"/>
          <w:szCs w:val="24"/>
          <w:lang w:eastAsia="it-IT"/>
        </w:rPr>
        <w:t>BANCHE: DEPOSITI,PRESTITI,SOFFERENZE,INCAGLI: LA DISASTROSA GESTIONE DEL CREDITO DEI BANCHIERI ITALIANI, CHE EROGANO PRESTITI AD AMICI E COMPARI.</w:t>
      </w:r>
    </w:p>
    <w:p w:rsidR="00CC22E3" w:rsidRDefault="00CC22E3" w:rsidP="003744E5">
      <w:pPr>
        <w:jc w:val="center"/>
        <w:rPr>
          <w:rFonts w:eastAsia="SimSun" w:cs="Century Gothic"/>
          <w:sz w:val="28"/>
          <w:szCs w:val="28"/>
          <w:lang w:eastAsia="zh-CN"/>
        </w:rPr>
      </w:pPr>
    </w:p>
    <w:tbl>
      <w:tblPr>
        <w:tblStyle w:val="Grigliatabella"/>
        <w:tblpPr w:leftFromText="141" w:rightFromText="141" w:bottomFromText="80" w:vertAnchor="text" w:horzAnchor="margin" w:tblpY="-113"/>
        <w:tblOverlap w:val="never"/>
        <w:tblW w:w="4891" w:type="pct"/>
        <w:tblLook w:val="04A0" w:firstRow="1" w:lastRow="0" w:firstColumn="1" w:lastColumn="0" w:noHBand="0" w:noVBand="1"/>
      </w:tblPr>
      <w:tblGrid>
        <w:gridCol w:w="2673"/>
        <w:gridCol w:w="783"/>
        <w:gridCol w:w="2456"/>
        <w:gridCol w:w="783"/>
        <w:gridCol w:w="2944"/>
      </w:tblGrid>
      <w:tr w:rsidR="00CC22E3" w:rsidTr="00BC60D0">
        <w:tc>
          <w:tcPr>
            <w:tcW w:w="1387"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vAlign w:val="center"/>
            <w:hideMark/>
          </w:tcPr>
          <w:p w:rsidR="00CC22E3" w:rsidRDefault="00CC22E3" w:rsidP="00BC60D0">
            <w:pPr>
              <w:spacing w:after="80" w:line="360" w:lineRule="auto"/>
              <w:ind w:right="33"/>
              <w:jc w:val="left"/>
              <w:rPr>
                <w:rFonts w:asciiTheme="minorHAnsi" w:hAnsiTheme="minorHAnsi"/>
                <w:b/>
                <w:sz w:val="20"/>
                <w:szCs w:val="20"/>
                <w:lang w:eastAsia="en-US"/>
              </w:rPr>
            </w:pPr>
            <w:r>
              <w:rPr>
                <w:rFonts w:asciiTheme="minorHAnsi" w:hAnsiTheme="minorHAnsi"/>
                <w:b/>
                <w:sz w:val="20"/>
                <w:szCs w:val="20"/>
              </w:rPr>
              <w:t>Depositi: + 5,5 % sull’ottobre 2012</w:t>
            </w:r>
          </w:p>
        </w:tc>
        <w:tc>
          <w:tcPr>
            <w:tcW w:w="406" w:type="pct"/>
            <w:tcBorders>
              <w:top w:val="single" w:sz="4" w:space="0" w:color="FFFFFF" w:themeColor="background1"/>
              <w:left w:val="single" w:sz="4" w:space="0" w:color="000000"/>
              <w:bottom w:val="single" w:sz="4" w:space="0" w:color="FFFFFF" w:themeColor="background1"/>
              <w:right w:val="single" w:sz="4" w:space="0" w:color="000000"/>
            </w:tcBorders>
            <w:vAlign w:val="center"/>
          </w:tcPr>
          <w:p w:rsidR="00CC22E3" w:rsidRDefault="00CC22E3" w:rsidP="00BC60D0">
            <w:pPr>
              <w:spacing w:after="80" w:line="360" w:lineRule="auto"/>
              <w:ind w:right="33"/>
              <w:jc w:val="left"/>
              <w:rPr>
                <w:rFonts w:asciiTheme="minorHAnsi" w:hAnsiTheme="minorHAnsi"/>
                <w:b/>
                <w:sz w:val="20"/>
                <w:szCs w:val="20"/>
                <w:lang w:eastAsia="en-US"/>
              </w:rPr>
            </w:pPr>
          </w:p>
        </w:tc>
        <w:tc>
          <w:tcPr>
            <w:tcW w:w="1274"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vAlign w:val="center"/>
            <w:hideMark/>
          </w:tcPr>
          <w:p w:rsidR="00CC22E3" w:rsidRDefault="00CC22E3" w:rsidP="00BC60D0">
            <w:pPr>
              <w:spacing w:after="80" w:line="360" w:lineRule="auto"/>
              <w:ind w:right="33"/>
              <w:jc w:val="left"/>
              <w:rPr>
                <w:rFonts w:asciiTheme="minorHAnsi" w:hAnsiTheme="minorHAnsi"/>
                <w:b/>
                <w:sz w:val="20"/>
                <w:szCs w:val="20"/>
                <w:lang w:eastAsia="en-US"/>
              </w:rPr>
            </w:pPr>
            <w:r>
              <w:rPr>
                <w:rFonts w:asciiTheme="minorHAnsi" w:hAnsiTheme="minorHAnsi"/>
                <w:b/>
                <w:sz w:val="20"/>
                <w:szCs w:val="20"/>
              </w:rPr>
              <w:t>Prestiti: - 5,5 % alle aziende.</w:t>
            </w:r>
          </w:p>
        </w:tc>
        <w:tc>
          <w:tcPr>
            <w:tcW w:w="406" w:type="pct"/>
            <w:tcBorders>
              <w:top w:val="single" w:sz="4" w:space="0" w:color="FFFFFF" w:themeColor="background1"/>
              <w:left w:val="single" w:sz="4" w:space="0" w:color="000000"/>
              <w:bottom w:val="single" w:sz="4" w:space="0" w:color="FFFFFF" w:themeColor="background1"/>
              <w:right w:val="single" w:sz="4" w:space="0" w:color="000000"/>
            </w:tcBorders>
            <w:vAlign w:val="center"/>
          </w:tcPr>
          <w:p w:rsidR="00CC22E3" w:rsidRDefault="00CC22E3" w:rsidP="00BC60D0">
            <w:pPr>
              <w:spacing w:after="80" w:line="360" w:lineRule="auto"/>
              <w:ind w:right="33"/>
              <w:jc w:val="left"/>
              <w:rPr>
                <w:rFonts w:asciiTheme="minorHAnsi" w:hAnsiTheme="minorHAnsi"/>
                <w:b/>
                <w:sz w:val="20"/>
                <w:szCs w:val="20"/>
                <w:lang w:eastAsia="en-US"/>
              </w:rPr>
            </w:pPr>
          </w:p>
        </w:tc>
        <w:tc>
          <w:tcPr>
            <w:tcW w:w="1528"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vAlign w:val="center"/>
            <w:hideMark/>
          </w:tcPr>
          <w:p w:rsidR="00CC22E3" w:rsidRDefault="00CC22E3" w:rsidP="00BC60D0">
            <w:pPr>
              <w:spacing w:after="0" w:line="240" w:lineRule="auto"/>
              <w:ind w:right="33"/>
              <w:jc w:val="left"/>
              <w:rPr>
                <w:rFonts w:asciiTheme="minorHAnsi" w:hAnsiTheme="minorHAnsi"/>
                <w:b/>
                <w:sz w:val="20"/>
                <w:szCs w:val="20"/>
                <w:lang w:eastAsia="en-US"/>
              </w:rPr>
            </w:pPr>
            <w:r>
              <w:rPr>
                <w:rFonts w:asciiTheme="minorHAnsi" w:hAnsiTheme="minorHAnsi"/>
                <w:b/>
                <w:sz w:val="20"/>
                <w:szCs w:val="20"/>
              </w:rPr>
              <w:t>Sofferenze: + 22,2 % quelle lorde; + 28 % quelle al valore di realizzo.</w:t>
            </w:r>
          </w:p>
        </w:tc>
      </w:tr>
    </w:tbl>
    <w:p w:rsidR="003744E5" w:rsidRPr="00406F1D" w:rsidRDefault="00CC22E3" w:rsidP="00406F1D">
      <w:pPr>
        <w:pStyle w:val="Titolo2"/>
        <w:jc w:val="both"/>
        <w:rPr>
          <w:rFonts w:ascii="Times New Roman" w:hAnsi="Times New Roman" w:cs="Times New Roman"/>
        </w:rPr>
      </w:pPr>
      <w:r w:rsidRPr="00406F1D">
        <w:rPr>
          <w:rFonts w:ascii="Times New Roman" w:hAnsi="Times New Roman" w:cs="Times New Roman"/>
        </w:rPr>
        <w:t>Il Supplemento al Bollettino Statistico  “Moneta e banche” n° 64 del 9-12-13 di Bankitalia, ci permette una valutazione dell’andamento, congiunturale e su base annua, di Depositi (comprensivi di Pronto/Termine), Prestiti e Sofferenze bancarie. I dati sono aggiornati ad ottobre.</w:t>
      </w:r>
      <w:r w:rsidR="003744E5" w:rsidRPr="00406F1D">
        <w:rPr>
          <w:rFonts w:ascii="Times New Roman" w:hAnsi="Times New Roman" w:cs="Times New Roman"/>
        </w:rPr>
        <w:t xml:space="preserve"> </w:t>
      </w:r>
    </w:p>
    <w:p w:rsidR="00CC22E3" w:rsidRPr="00CC22E3" w:rsidRDefault="00CC22E3" w:rsidP="00CC22E3">
      <w:pPr>
        <w:spacing w:line="360" w:lineRule="auto"/>
        <w:rPr>
          <w:b/>
        </w:rPr>
      </w:pPr>
      <w:r w:rsidRPr="00CC22E3">
        <w:rPr>
          <w:b/>
        </w:rPr>
        <w:t>DEPOSITI</w:t>
      </w:r>
    </w:p>
    <w:p w:rsidR="003744E5" w:rsidRPr="00406F1D" w:rsidRDefault="00CC22E3" w:rsidP="00CC22E3">
      <w:pPr>
        <w:spacing w:line="360" w:lineRule="auto"/>
        <w:rPr>
          <w:rStyle w:val="Titolo2Carattere"/>
        </w:rPr>
      </w:pPr>
      <w:r w:rsidRPr="003744E5">
        <w:rPr>
          <w:rFonts w:ascii="Times New Roman" w:hAnsi="Times New Roman" w:cs="Times New Roman"/>
          <w:sz w:val="24"/>
          <w:szCs w:val="24"/>
          <w:lang w:eastAsia="it-IT"/>
        </w:rPr>
        <w:t xml:space="preserve">Per i Depositi </w:t>
      </w:r>
      <w:r w:rsidR="003744E5">
        <w:rPr>
          <w:rFonts w:ascii="Times New Roman" w:hAnsi="Times New Roman" w:cs="Times New Roman"/>
          <w:sz w:val="24"/>
          <w:szCs w:val="24"/>
          <w:lang w:eastAsia="it-IT"/>
        </w:rPr>
        <w:t>si</w:t>
      </w:r>
      <w:r w:rsidRPr="003744E5">
        <w:rPr>
          <w:rFonts w:ascii="Times New Roman" w:hAnsi="Times New Roman" w:cs="Times New Roman"/>
          <w:sz w:val="24"/>
          <w:szCs w:val="24"/>
          <w:lang w:eastAsia="it-IT"/>
        </w:rPr>
        <w:t xml:space="preserve"> rileva</w:t>
      </w:r>
      <w:r>
        <w:t xml:space="preserve"> (</w:t>
      </w:r>
      <w:r>
        <w:rPr>
          <w:b/>
        </w:rPr>
        <w:t>TAB. 1-)</w:t>
      </w:r>
      <w:r>
        <w:t xml:space="preserve"> </w:t>
      </w:r>
      <w:r w:rsidRPr="00063863">
        <w:rPr>
          <w:rFonts w:ascii="Times New Roman" w:hAnsi="Times New Roman" w:cs="Times New Roman"/>
          <w:sz w:val="24"/>
          <w:szCs w:val="24"/>
          <w:lang w:eastAsia="it-IT"/>
        </w:rPr>
        <w:t>un forte incremento sull’ottobre 2012, sia in generale (+ 5,5 %) che per quelli in conto corrente (+ 6,7 %). Per la variazione congiunturale, si rileva un calo frazionario per i Depositi complessivi (- 0,2 %) e un incremento di quelli in C/C (+1,9 %).</w:t>
      </w:r>
      <w:r w:rsidR="003744E5" w:rsidRPr="00063863">
        <w:rPr>
          <w:rFonts w:ascii="Times New Roman" w:hAnsi="Times New Roman" w:cs="Times New Roman"/>
          <w:sz w:val="24"/>
          <w:szCs w:val="24"/>
        </w:rPr>
        <w:t xml:space="preserve"> </w:t>
      </w:r>
      <w:r w:rsidRPr="00063863">
        <w:rPr>
          <w:rFonts w:ascii="Times New Roman" w:hAnsi="Times New Roman" w:cs="Times New Roman"/>
          <w:sz w:val="24"/>
          <w:szCs w:val="24"/>
          <w:lang w:eastAsia="it-IT"/>
        </w:rPr>
        <w:t>I correntisti, quindi, si stanno “tenendo liquidi”, come si dice in gergo finanziario.</w:t>
      </w:r>
      <w:r w:rsidR="003744E5" w:rsidRPr="00063863">
        <w:rPr>
          <w:rFonts w:ascii="Times New Roman" w:hAnsi="Times New Roman" w:cs="Times New Roman"/>
          <w:sz w:val="24"/>
          <w:szCs w:val="24"/>
          <w:lang w:eastAsia="it-IT"/>
        </w:rPr>
        <w:t xml:space="preserve"> </w:t>
      </w:r>
      <w:r w:rsidRPr="00063863">
        <w:rPr>
          <w:rFonts w:ascii="Times New Roman" w:hAnsi="Times New Roman" w:cs="Times New Roman"/>
          <w:sz w:val="24"/>
          <w:szCs w:val="24"/>
          <w:lang w:eastAsia="it-IT"/>
        </w:rPr>
        <w:t>Il dato è incongruente con le valutazioni ABI miranti ad informare che i depositi bancari languono</w:t>
      </w:r>
      <w:r w:rsidRPr="00063863">
        <w:rPr>
          <w:rStyle w:val="Titolo2Carattere"/>
        </w:rPr>
        <w:t>.</w:t>
      </w:r>
    </w:p>
    <w:p w:rsidR="00CC22E3" w:rsidRPr="00CC22E3" w:rsidRDefault="003744E5" w:rsidP="00CC22E3">
      <w:pPr>
        <w:spacing w:line="360" w:lineRule="auto"/>
        <w:rPr>
          <w:b/>
        </w:rPr>
      </w:pPr>
      <w:r>
        <w:t xml:space="preserve"> </w:t>
      </w:r>
      <w:r w:rsidR="00CC22E3" w:rsidRPr="00CC22E3">
        <w:rPr>
          <w:b/>
        </w:rPr>
        <w:t>PRESTITI</w:t>
      </w:r>
    </w:p>
    <w:p w:rsidR="003744E5" w:rsidRPr="00063863" w:rsidRDefault="00CC22E3" w:rsidP="00063863">
      <w:pPr>
        <w:pStyle w:val="Titolo2"/>
        <w:jc w:val="both"/>
        <w:rPr>
          <w:rFonts w:ascii="Times New Roman" w:hAnsi="Times New Roman" w:cs="Times New Roman"/>
        </w:rPr>
      </w:pPr>
      <w:r w:rsidRPr="00063863">
        <w:rPr>
          <w:rFonts w:ascii="Times New Roman" w:hAnsi="Times New Roman" w:cs="Times New Roman"/>
        </w:rPr>
        <w:t>Crollano invece i Prestiti all’apparato produttivo, con -5,5 % sul 2012 e -0,7 % su settembre 2012.</w:t>
      </w:r>
      <w:r w:rsidR="003744E5" w:rsidRPr="00063863">
        <w:rPr>
          <w:rFonts w:ascii="Times New Roman" w:hAnsi="Times New Roman" w:cs="Times New Roman"/>
        </w:rPr>
        <w:t xml:space="preserve"> </w:t>
      </w:r>
      <w:r w:rsidRPr="00063863">
        <w:rPr>
          <w:rFonts w:ascii="Times New Roman" w:hAnsi="Times New Roman" w:cs="Times New Roman"/>
        </w:rPr>
        <w:t xml:space="preserve">Anche i prestiti alle famiglie calano: rispetto ad ottobre 2012, le famiglie produttrici vedono le erogazioni tagliate del 2,6 %, quelle consumatrici dello 0,9 %. In termini congiunturali, le famiglie produttrici vedono i prestiti ridotti dello 0,4 %, mentre quelli delle famiglie consumatrici </w:t>
      </w:r>
      <w:r w:rsidR="003744E5" w:rsidRPr="00063863">
        <w:rPr>
          <w:rFonts w:ascii="Times New Roman" w:hAnsi="Times New Roman" w:cs="Times New Roman"/>
        </w:rPr>
        <w:t>, sono</w:t>
      </w:r>
      <w:r w:rsidRPr="00063863">
        <w:rPr>
          <w:rFonts w:ascii="Times New Roman" w:hAnsi="Times New Roman" w:cs="Times New Roman"/>
        </w:rPr>
        <w:t xml:space="preserve"> stazionari (-0,03 %) ma pur sempre col segno meno.</w:t>
      </w:r>
    </w:p>
    <w:p w:rsidR="00CC22E3" w:rsidRDefault="00CC22E3" w:rsidP="003744E5">
      <w:pPr>
        <w:spacing w:line="360" w:lineRule="auto"/>
        <w:rPr>
          <w:b/>
        </w:rPr>
      </w:pPr>
      <w:proofErr w:type="spellStart"/>
      <w:r>
        <w:rPr>
          <w:b/>
        </w:rPr>
        <w:t>Tab</w:t>
      </w:r>
      <w:proofErr w:type="spellEnd"/>
      <w:r>
        <w:rPr>
          <w:b/>
        </w:rPr>
        <w:t>. 1- Sistema bancario italiano</w:t>
      </w:r>
      <w:r w:rsidR="003744E5">
        <w:rPr>
          <w:b/>
        </w:rPr>
        <w:t xml:space="preserve"> </w:t>
      </w:r>
      <w:r>
        <w:rPr>
          <w:b/>
        </w:rPr>
        <w:t>Depositi e Prestiti a residenti</w:t>
      </w:r>
    </w:p>
    <w:p w:rsidR="00CC22E3" w:rsidRDefault="00CC22E3" w:rsidP="00CC22E3">
      <w:pPr>
        <w:spacing w:after="0"/>
        <w:jc w:val="center"/>
      </w:pPr>
      <w:r>
        <w:t>Fonte “Moneta e banche” n° 64 del 9-12-13 (</w:t>
      </w:r>
      <w:r w:rsidR="003744E5">
        <w:t>pagine</w:t>
      </w:r>
      <w:r>
        <w:t xml:space="preserve"> 24, 26, 27, 28)</w:t>
      </w:r>
      <w:r w:rsidR="003744E5">
        <w:t xml:space="preserve"> </w:t>
      </w:r>
      <w:r>
        <w:t xml:space="preserve">In miliardi di euro. </w:t>
      </w:r>
      <w:r w:rsidR="003744E5">
        <w:t>E</w:t>
      </w:r>
      <w:r>
        <w:t>laborazioni</w:t>
      </w:r>
      <w:r w:rsidR="003744E5">
        <w:t xml:space="preserve"> </w:t>
      </w:r>
      <w:r w:rsidR="00063863">
        <w:t xml:space="preserve">DR. Mauro Novelli Segretario Nazionale </w:t>
      </w:r>
      <w:r w:rsidR="003744E5">
        <w:t>Adusbef</w:t>
      </w:r>
    </w:p>
    <w:tbl>
      <w:tblPr>
        <w:tblStyle w:val="Grigliatabella"/>
        <w:tblW w:w="10047" w:type="dxa"/>
        <w:jc w:val="center"/>
        <w:tblLook w:val="04A0" w:firstRow="1" w:lastRow="0" w:firstColumn="1" w:lastColumn="0" w:noHBand="0" w:noVBand="1"/>
      </w:tblPr>
      <w:tblGrid>
        <w:gridCol w:w="2615"/>
        <w:gridCol w:w="1686"/>
        <w:gridCol w:w="1494"/>
        <w:gridCol w:w="1417"/>
        <w:gridCol w:w="1559"/>
        <w:gridCol w:w="1276"/>
      </w:tblGrid>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b/>
                <w:sz w:val="20"/>
                <w:lang w:eastAsia="en-US"/>
              </w:rPr>
            </w:pPr>
          </w:p>
        </w:tc>
        <w:tc>
          <w:tcPr>
            <w:tcW w:w="168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b/>
                <w:sz w:val="20"/>
                <w:lang w:eastAsia="en-US"/>
              </w:rPr>
            </w:pPr>
            <w:r>
              <w:rPr>
                <w:b/>
                <w:sz w:val="20"/>
              </w:rPr>
              <w:t>Ottobre 2013</w:t>
            </w:r>
          </w:p>
        </w:tc>
        <w:tc>
          <w:tcPr>
            <w:tcW w:w="2911"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b/>
                <w:sz w:val="20"/>
                <w:lang w:eastAsia="en-US"/>
              </w:rPr>
            </w:pPr>
            <w:r>
              <w:rPr>
                <w:b/>
                <w:sz w:val="20"/>
              </w:rPr>
              <w:t>Settembre 2013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b/>
                <w:sz w:val="20"/>
                <w:lang w:eastAsia="en-US"/>
              </w:rPr>
            </w:pPr>
            <w:r>
              <w:rPr>
                <w:b/>
                <w:sz w:val="20"/>
              </w:rPr>
              <w:t>Ottobre 2012</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b/>
                <w:sz w:val="20"/>
                <w:lang w:eastAsia="en-US"/>
              </w:rPr>
            </w:pPr>
          </w:p>
        </w:tc>
        <w:tc>
          <w:tcPr>
            <w:tcW w:w="168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b/>
                <w:sz w:val="20"/>
                <w:lang w:eastAsia="en-US"/>
              </w:rPr>
            </w:pPr>
          </w:p>
        </w:tc>
        <w:tc>
          <w:tcPr>
            <w:tcW w:w="149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b/>
                <w:sz w:val="20"/>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b/>
                <w:sz w:val="20"/>
                <w:lang w:eastAsia="en-US"/>
              </w:rPr>
            </w:pPr>
            <w:proofErr w:type="spellStart"/>
            <w:r>
              <w:rPr>
                <w:b/>
                <w:sz w:val="20"/>
              </w:rPr>
              <w:t>Variaz</w:t>
            </w:r>
            <w:proofErr w:type="spellEnd"/>
            <w:r>
              <w:rPr>
                <w:b/>
                <w:sz w:val="20"/>
              </w:rPr>
              <w:t>. %</w:t>
            </w:r>
          </w:p>
        </w:tc>
        <w:tc>
          <w:tcPr>
            <w:tcW w:w="155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b/>
                <w:sz w:val="20"/>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b/>
                <w:sz w:val="20"/>
                <w:lang w:eastAsia="en-US"/>
              </w:rPr>
            </w:pPr>
            <w:proofErr w:type="spellStart"/>
            <w:r>
              <w:rPr>
                <w:b/>
                <w:sz w:val="20"/>
              </w:rPr>
              <w:t>Variaz</w:t>
            </w:r>
            <w:proofErr w:type="spellEnd"/>
            <w:r>
              <w:rPr>
                <w:b/>
                <w:sz w:val="20"/>
              </w:rPr>
              <w:t>. %</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20"/>
                <w:lang w:eastAsia="en-US"/>
              </w:rPr>
            </w:pPr>
            <w:r>
              <w:rPr>
                <w:b/>
                <w:sz w:val="20"/>
              </w:rPr>
              <w:t>DEPOSITI</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1.488,942</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1.491,538</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- 0,2%</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1.407,044</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+ 5,5%</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20"/>
                <w:lang w:eastAsia="en-US"/>
              </w:rPr>
            </w:pPr>
            <w:r>
              <w:rPr>
                <w:b/>
                <w:sz w:val="18"/>
              </w:rPr>
              <w:t>…di cui in Conto corrente</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739,321</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725,854</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+ 1,9%</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692,688</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+ 6,7%</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rPr>
                <w:rFonts w:ascii="Century Gothic" w:hAnsi="Century Gothic"/>
                <w:b/>
                <w:sz w:val="20"/>
                <w:lang w:eastAsia="en-US"/>
              </w:rPr>
            </w:pPr>
          </w:p>
        </w:tc>
        <w:tc>
          <w:tcPr>
            <w:tcW w:w="168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494"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417"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20"/>
                <w:lang w:eastAsia="en-US"/>
              </w:rPr>
            </w:pPr>
            <w:r>
              <w:rPr>
                <w:b/>
                <w:sz w:val="20"/>
              </w:rPr>
              <w:t>PRESTITI</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2.300,096</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2.306,265</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- 0,2%</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2.369,567</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- 2,9%</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right"/>
              <w:rPr>
                <w:rFonts w:ascii="Century Gothic" w:hAnsi="Century Gothic"/>
                <w:b/>
                <w:sz w:val="20"/>
                <w:lang w:eastAsia="en-US"/>
              </w:rPr>
            </w:pPr>
            <w:r>
              <w:rPr>
                <w:b/>
                <w:sz w:val="20"/>
              </w:rPr>
              <w:t>di cui….</w:t>
            </w:r>
          </w:p>
        </w:tc>
        <w:tc>
          <w:tcPr>
            <w:tcW w:w="168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494"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417"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a società non finanziarie</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822,904</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828,972</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- 0,7%</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870,578</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- 5,5%</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a famiglie consumatrici</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497,637</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497,765</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- 0,03%</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501,932</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- 0,9%</w:t>
            </w:r>
          </w:p>
        </w:tc>
      </w:tr>
      <w:tr w:rsidR="00CC22E3" w:rsidTr="00BC60D0">
        <w:trPr>
          <w:jc w:val="center"/>
        </w:trPr>
        <w:tc>
          <w:tcPr>
            <w:tcW w:w="26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a famiglie produttrici</w:t>
            </w:r>
          </w:p>
        </w:tc>
        <w:tc>
          <w:tcPr>
            <w:tcW w:w="168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95,651</w:t>
            </w:r>
          </w:p>
        </w:tc>
        <w:tc>
          <w:tcPr>
            <w:tcW w:w="1494"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96,020</w:t>
            </w:r>
          </w:p>
        </w:tc>
        <w:tc>
          <w:tcPr>
            <w:tcW w:w="1417"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- 0,4%</w:t>
            </w:r>
          </w:p>
        </w:tc>
        <w:tc>
          <w:tcPr>
            <w:tcW w:w="155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98,221</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- 2,6%</w:t>
            </w:r>
          </w:p>
        </w:tc>
      </w:tr>
    </w:tbl>
    <w:p w:rsidR="00406F1D" w:rsidRDefault="00406F1D" w:rsidP="00CC22E3">
      <w:pPr>
        <w:spacing w:line="360" w:lineRule="auto"/>
        <w:rPr>
          <w:b/>
        </w:rPr>
      </w:pPr>
    </w:p>
    <w:p w:rsidR="00CC22E3" w:rsidRPr="00CC22E3" w:rsidRDefault="00CC22E3" w:rsidP="00CC22E3">
      <w:pPr>
        <w:spacing w:line="360" w:lineRule="auto"/>
        <w:rPr>
          <w:b/>
        </w:rPr>
      </w:pPr>
      <w:r w:rsidRPr="00CC22E3">
        <w:rPr>
          <w:b/>
        </w:rPr>
        <w:lastRenderedPageBreak/>
        <w:t>SOFFERENZE</w:t>
      </w:r>
    </w:p>
    <w:p w:rsidR="00CC22E3" w:rsidRPr="003744E5" w:rsidRDefault="00CC22E3" w:rsidP="003744E5">
      <w:pPr>
        <w:autoSpaceDE w:val="0"/>
        <w:autoSpaceDN w:val="0"/>
        <w:adjustRightInd w:val="0"/>
        <w:spacing w:line="360" w:lineRule="auto"/>
        <w:rPr>
          <w:rFonts w:ascii="Times New Roman" w:hAnsi="Times New Roman" w:cs="Times New Roman"/>
          <w:sz w:val="24"/>
          <w:szCs w:val="24"/>
          <w:lang w:eastAsia="it-IT"/>
        </w:rPr>
      </w:pPr>
      <w:r w:rsidRPr="003744E5">
        <w:rPr>
          <w:rFonts w:ascii="Times New Roman" w:hAnsi="Times New Roman" w:cs="Times New Roman"/>
          <w:sz w:val="24"/>
          <w:szCs w:val="24"/>
          <w:lang w:eastAsia="it-IT"/>
        </w:rPr>
        <w:t>Continua la crescita delle sofferenze: in una anno si incrementano del  + 22,3 % quelle lorde, + 28,0 % quelle al valore di realizzo; su base congiunturale crescono di quasi il 2 % le lorde e del 3 le seconde. Queste ultime, spiega Bankitalia,  sono ottenute sottraendo alle sofferenze i fondi rettificativi su esposizioni per cassa delle sofferenze, che includono sia i fondi (iscritti nella contabilità generale delle banche segnalanti), che assolvono la funzione di rettificare i valori dei finanziamenti, sia l'ammontare cumulato delle svalutazioni operate in contabilità generale direttamente in conto (svalutazione diretta).</w:t>
      </w:r>
      <w:r w:rsidR="003744E5" w:rsidRPr="003744E5">
        <w:rPr>
          <w:rFonts w:ascii="Times New Roman" w:hAnsi="Times New Roman" w:cs="Times New Roman"/>
          <w:sz w:val="24"/>
          <w:szCs w:val="24"/>
          <w:lang w:eastAsia="it-IT"/>
        </w:rPr>
        <w:t xml:space="preserve"> </w:t>
      </w:r>
      <w:r w:rsidRPr="003744E5">
        <w:rPr>
          <w:rFonts w:ascii="Times New Roman" w:hAnsi="Times New Roman" w:cs="Times New Roman"/>
          <w:sz w:val="24"/>
          <w:szCs w:val="24"/>
          <w:lang w:eastAsia="it-IT"/>
        </w:rPr>
        <w:t>Circa le sofferenze bancarie, ci corre l’obbligo di richiamare la considerazione di Bankitalia, secondo cui, se per la loro definizione si adottasse il calcolo utilizzato nel resto d’Europa, quelle a  carico del sistema bancario italiano si ridurrebbero del 30 percento.</w:t>
      </w:r>
      <w:r>
        <w:t xml:space="preserve"> La </w:t>
      </w:r>
      <w:r>
        <w:rPr>
          <w:b/>
        </w:rPr>
        <w:t>TAB. 2-</w:t>
      </w:r>
      <w:r>
        <w:t xml:space="preserve"> </w:t>
      </w:r>
      <w:r w:rsidRPr="003744E5">
        <w:rPr>
          <w:rFonts w:ascii="Times New Roman" w:hAnsi="Times New Roman" w:cs="Times New Roman"/>
          <w:sz w:val="24"/>
          <w:szCs w:val="24"/>
          <w:lang w:eastAsia="it-IT"/>
        </w:rPr>
        <w:t>evidenzia lo stato sempre più precario in cui versa l’apparato produttivo: le sofferenze lorde imputabili a società non finanziarie sono cresciute, rispetto ad ottobre 2012, di oltre il 26 %, quelle a carico delle famiglie produttive del 16,2 %.</w:t>
      </w:r>
      <w:r w:rsidR="003744E5" w:rsidRPr="003744E5">
        <w:rPr>
          <w:rFonts w:ascii="Times New Roman" w:hAnsi="Times New Roman" w:cs="Times New Roman"/>
          <w:sz w:val="24"/>
          <w:szCs w:val="24"/>
          <w:lang w:eastAsia="it-IT"/>
        </w:rPr>
        <w:t xml:space="preserve"> </w:t>
      </w:r>
      <w:r w:rsidRPr="003744E5">
        <w:rPr>
          <w:rFonts w:ascii="Times New Roman" w:hAnsi="Times New Roman" w:cs="Times New Roman"/>
          <w:sz w:val="24"/>
          <w:szCs w:val="24"/>
          <w:lang w:eastAsia="it-IT"/>
        </w:rPr>
        <w:t xml:space="preserve">Per quanto riguarda le famiglie consumatrici, le sofferenze sui prestiti da esse ottenute, sono cresciute in un anno di oltre il 15 %. </w:t>
      </w:r>
      <w:r w:rsidR="003744E5" w:rsidRPr="003744E5">
        <w:rPr>
          <w:rFonts w:ascii="Times New Roman" w:hAnsi="Times New Roman" w:cs="Times New Roman"/>
          <w:sz w:val="24"/>
          <w:szCs w:val="24"/>
          <w:lang w:eastAsia="it-IT"/>
        </w:rPr>
        <w:t xml:space="preserve"> </w:t>
      </w:r>
      <w:r w:rsidRPr="003744E5">
        <w:rPr>
          <w:rFonts w:ascii="Times New Roman" w:hAnsi="Times New Roman" w:cs="Times New Roman"/>
          <w:sz w:val="24"/>
          <w:szCs w:val="24"/>
          <w:lang w:eastAsia="it-IT"/>
        </w:rPr>
        <w:t>Consistente l’incremento anche del dato congiunturale: + 2,1 % per le aziende; + 1,2,% per le famiglie consumatrici; + 1,1 % per le produttrici.</w:t>
      </w:r>
    </w:p>
    <w:p w:rsidR="00CC22E3" w:rsidRDefault="00CC22E3" w:rsidP="00CC22E3">
      <w:pPr>
        <w:spacing w:after="0"/>
        <w:jc w:val="center"/>
        <w:rPr>
          <w:b/>
        </w:rPr>
      </w:pPr>
      <w:r>
        <w:rPr>
          <w:b/>
        </w:rPr>
        <w:t>TAB. 2- Sistema bancario italiano. Sofferenze</w:t>
      </w:r>
    </w:p>
    <w:p w:rsidR="00CC22E3" w:rsidRDefault="00CC22E3" w:rsidP="00CC22E3">
      <w:pPr>
        <w:spacing w:after="0"/>
        <w:jc w:val="center"/>
      </w:pPr>
      <w:r>
        <w:t>Fonte “Moneta e banche” n° 64 del 9-12-13 (pag. 30)</w:t>
      </w:r>
      <w:r w:rsidR="00406F1D">
        <w:t xml:space="preserve"> </w:t>
      </w:r>
      <w:r>
        <w:t>In miliardi di euro. Ns. elaborazioni.</w:t>
      </w:r>
    </w:p>
    <w:tbl>
      <w:tblPr>
        <w:tblStyle w:val="Grigliatabella"/>
        <w:tblW w:w="9247" w:type="dxa"/>
        <w:jc w:val="center"/>
        <w:tblLook w:val="04A0" w:firstRow="1" w:lastRow="0" w:firstColumn="1" w:lastColumn="0" w:noHBand="0" w:noVBand="1"/>
      </w:tblPr>
      <w:tblGrid>
        <w:gridCol w:w="2782"/>
        <w:gridCol w:w="1508"/>
        <w:gridCol w:w="1150"/>
        <w:gridCol w:w="1169"/>
        <w:gridCol w:w="1276"/>
        <w:gridCol w:w="1362"/>
      </w:tblGrid>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rPr>
                <w:rFonts w:ascii="Century Gothic" w:hAnsi="Century Gothic"/>
                <w:b/>
                <w:sz w:val="20"/>
                <w:lang w:eastAsia="en-US"/>
              </w:rPr>
            </w:pPr>
          </w:p>
        </w:tc>
        <w:tc>
          <w:tcPr>
            <w:tcW w:w="150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sz w:val="20"/>
                <w:lang w:eastAsia="en-US"/>
              </w:rPr>
            </w:pPr>
            <w:r>
              <w:rPr>
                <w:sz w:val="20"/>
              </w:rPr>
              <w:t>Ottobre 2013</w:t>
            </w:r>
          </w:p>
        </w:tc>
        <w:tc>
          <w:tcPr>
            <w:tcW w:w="2319"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sz w:val="20"/>
                <w:lang w:eastAsia="en-US"/>
              </w:rPr>
            </w:pPr>
            <w:r>
              <w:rPr>
                <w:sz w:val="20"/>
              </w:rPr>
              <w:t>Settembre 2013</w:t>
            </w:r>
          </w:p>
        </w:tc>
        <w:tc>
          <w:tcPr>
            <w:tcW w:w="2638"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sz w:val="20"/>
                <w:lang w:eastAsia="en-US"/>
              </w:rPr>
            </w:pPr>
            <w:r>
              <w:rPr>
                <w:sz w:val="20"/>
              </w:rPr>
              <w:t>Ottobre 2012</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rPr>
                <w:rFonts w:ascii="Century Gothic" w:hAnsi="Century Gothic"/>
                <w:b/>
                <w:sz w:val="20"/>
                <w:lang w:eastAsia="en-US"/>
              </w:rPr>
            </w:pPr>
          </w:p>
        </w:tc>
        <w:tc>
          <w:tcPr>
            <w:tcW w:w="150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sz w:val="20"/>
                <w:lang w:eastAsia="en-US"/>
              </w:rPr>
            </w:pPr>
          </w:p>
        </w:tc>
        <w:tc>
          <w:tcPr>
            <w:tcW w:w="115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sz w:val="20"/>
                <w:lang w:eastAsia="en-US"/>
              </w:rPr>
            </w:pPr>
          </w:p>
        </w:tc>
        <w:tc>
          <w:tcPr>
            <w:tcW w:w="116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sz w:val="20"/>
                <w:lang w:eastAsia="en-US"/>
              </w:rPr>
            </w:pPr>
            <w:proofErr w:type="spellStart"/>
            <w:r>
              <w:rPr>
                <w:sz w:val="20"/>
              </w:rPr>
              <w:t>Variaz</w:t>
            </w:r>
            <w:proofErr w:type="spellEnd"/>
            <w:r>
              <w:rPr>
                <w:sz w:val="20"/>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jc w:val="center"/>
              <w:rPr>
                <w:rFonts w:ascii="Century Gothic" w:hAnsi="Century Gothic"/>
                <w:sz w:val="20"/>
                <w:lang w:eastAsia="en-US"/>
              </w:rPr>
            </w:pPr>
          </w:p>
        </w:tc>
        <w:tc>
          <w:tcPr>
            <w:tcW w:w="136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center"/>
              <w:rPr>
                <w:rFonts w:ascii="Century Gothic" w:hAnsi="Century Gothic"/>
                <w:sz w:val="20"/>
                <w:lang w:eastAsia="en-US"/>
              </w:rPr>
            </w:pPr>
            <w:proofErr w:type="spellStart"/>
            <w:r>
              <w:rPr>
                <w:sz w:val="20"/>
              </w:rPr>
              <w:t>Variaz</w:t>
            </w:r>
            <w:proofErr w:type="spellEnd"/>
            <w:r>
              <w:rPr>
                <w:sz w:val="20"/>
              </w:rPr>
              <w:t>. %</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20"/>
                <w:lang w:eastAsia="en-US"/>
              </w:rPr>
            </w:pPr>
            <w:r>
              <w:rPr>
                <w:b/>
                <w:sz w:val="20"/>
              </w:rPr>
              <w:t>SOFFERENZE LORDE</w:t>
            </w:r>
          </w:p>
        </w:tc>
        <w:tc>
          <w:tcPr>
            <w:tcW w:w="1508"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147,297</w:t>
            </w:r>
          </w:p>
        </w:tc>
        <w:tc>
          <w:tcPr>
            <w:tcW w:w="1150"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144,526</w:t>
            </w:r>
          </w:p>
        </w:tc>
        <w:tc>
          <w:tcPr>
            <w:tcW w:w="116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+1,9%</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119,825</w:t>
            </w:r>
          </w:p>
        </w:tc>
        <w:tc>
          <w:tcPr>
            <w:tcW w:w="1362"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+ 22,3%</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jc w:val="right"/>
              <w:rPr>
                <w:rFonts w:ascii="Century Gothic" w:hAnsi="Century Gothic"/>
                <w:b/>
                <w:sz w:val="20"/>
                <w:lang w:eastAsia="en-US"/>
              </w:rPr>
            </w:pPr>
            <w:r>
              <w:rPr>
                <w:b/>
                <w:sz w:val="20"/>
              </w:rPr>
              <w:t>di cui….</w:t>
            </w:r>
          </w:p>
        </w:tc>
        <w:tc>
          <w:tcPr>
            <w:tcW w:w="1508"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169"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362"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di società non finanziarie</w:t>
            </w:r>
          </w:p>
        </w:tc>
        <w:tc>
          <w:tcPr>
            <w:tcW w:w="1508"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101,205</w:t>
            </w:r>
          </w:p>
        </w:tc>
        <w:tc>
          <w:tcPr>
            <w:tcW w:w="1150"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99,128</w:t>
            </w:r>
          </w:p>
        </w:tc>
        <w:tc>
          <w:tcPr>
            <w:tcW w:w="116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+ 2,1%</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80,242</w:t>
            </w:r>
          </w:p>
        </w:tc>
        <w:tc>
          <w:tcPr>
            <w:tcW w:w="1362"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+ 26,1%</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di famiglie consumatrici</w:t>
            </w:r>
          </w:p>
        </w:tc>
        <w:tc>
          <w:tcPr>
            <w:tcW w:w="1508"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31,238</w:t>
            </w:r>
          </w:p>
        </w:tc>
        <w:tc>
          <w:tcPr>
            <w:tcW w:w="1150"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30,871</w:t>
            </w:r>
          </w:p>
        </w:tc>
        <w:tc>
          <w:tcPr>
            <w:tcW w:w="116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+ 1,2%</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27,074</w:t>
            </w:r>
          </w:p>
        </w:tc>
        <w:tc>
          <w:tcPr>
            <w:tcW w:w="1362"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+ 15,4%</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18"/>
                <w:lang w:eastAsia="en-US"/>
              </w:rPr>
            </w:pPr>
            <w:r>
              <w:rPr>
                <w:b/>
                <w:sz w:val="18"/>
              </w:rPr>
              <w:t>… di famiglie produttrici</w:t>
            </w:r>
          </w:p>
        </w:tc>
        <w:tc>
          <w:tcPr>
            <w:tcW w:w="1508"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12,813</w:t>
            </w:r>
          </w:p>
        </w:tc>
        <w:tc>
          <w:tcPr>
            <w:tcW w:w="1150"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12,678</w:t>
            </w:r>
          </w:p>
        </w:tc>
        <w:tc>
          <w:tcPr>
            <w:tcW w:w="116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+ 1,1%</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11,024</w:t>
            </w:r>
          </w:p>
        </w:tc>
        <w:tc>
          <w:tcPr>
            <w:tcW w:w="1362"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18"/>
                <w:lang w:eastAsia="en-US"/>
              </w:rPr>
            </w:pPr>
            <w:r>
              <w:rPr>
                <w:sz w:val="18"/>
              </w:rPr>
              <w:t>+ 16,2%</w:t>
            </w: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CC22E3" w:rsidRDefault="00CC22E3" w:rsidP="00BC60D0">
            <w:pPr>
              <w:spacing w:after="80" w:line="240" w:lineRule="auto"/>
              <w:rPr>
                <w:rFonts w:ascii="Century Gothic" w:hAnsi="Century Gothic"/>
                <w:b/>
                <w:sz w:val="20"/>
                <w:lang w:eastAsia="en-US"/>
              </w:rPr>
            </w:pPr>
          </w:p>
        </w:tc>
        <w:tc>
          <w:tcPr>
            <w:tcW w:w="1508"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center"/>
              <w:rPr>
                <w:rFonts w:ascii="Century Gothic" w:hAnsi="Century Gothic"/>
                <w:sz w:val="20"/>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169"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c>
          <w:tcPr>
            <w:tcW w:w="1362" w:type="dxa"/>
            <w:tcBorders>
              <w:top w:val="single" w:sz="4" w:space="0" w:color="000000"/>
              <w:left w:val="single" w:sz="4" w:space="0" w:color="000000"/>
              <w:bottom w:val="single" w:sz="4" w:space="0" w:color="000000"/>
              <w:right w:val="single" w:sz="4" w:space="0" w:color="000000"/>
            </w:tcBorders>
          </w:tcPr>
          <w:p w:rsidR="00CC22E3" w:rsidRDefault="00CC22E3" w:rsidP="00BC60D0">
            <w:pPr>
              <w:spacing w:after="80" w:line="240" w:lineRule="auto"/>
              <w:jc w:val="right"/>
              <w:rPr>
                <w:rFonts w:ascii="Century Gothic" w:hAnsi="Century Gothic"/>
                <w:sz w:val="20"/>
                <w:lang w:eastAsia="en-US"/>
              </w:rPr>
            </w:pPr>
          </w:p>
        </w:tc>
      </w:tr>
      <w:tr w:rsidR="00CC22E3" w:rsidTr="00BC60D0">
        <w:trPr>
          <w:jc w:val="center"/>
        </w:trPr>
        <w:tc>
          <w:tcPr>
            <w:tcW w:w="27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CC22E3" w:rsidRDefault="00CC22E3" w:rsidP="00BC60D0">
            <w:pPr>
              <w:spacing w:after="80" w:line="240" w:lineRule="auto"/>
              <w:rPr>
                <w:rFonts w:ascii="Century Gothic" w:hAnsi="Century Gothic"/>
                <w:b/>
                <w:sz w:val="20"/>
                <w:lang w:eastAsia="en-US"/>
              </w:rPr>
            </w:pPr>
            <w:r>
              <w:rPr>
                <w:b/>
                <w:sz w:val="20"/>
              </w:rPr>
              <w:t>SOFFERENZE NETTE</w:t>
            </w:r>
          </w:p>
        </w:tc>
        <w:tc>
          <w:tcPr>
            <w:tcW w:w="1508"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center"/>
              <w:rPr>
                <w:rFonts w:ascii="Century Gothic" w:hAnsi="Century Gothic"/>
                <w:sz w:val="20"/>
                <w:lang w:eastAsia="en-US"/>
              </w:rPr>
            </w:pPr>
            <w:r>
              <w:rPr>
                <w:sz w:val="20"/>
              </w:rPr>
              <w:t>77,405</w:t>
            </w:r>
          </w:p>
        </w:tc>
        <w:tc>
          <w:tcPr>
            <w:tcW w:w="1150"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75,152</w:t>
            </w:r>
          </w:p>
        </w:tc>
        <w:tc>
          <w:tcPr>
            <w:tcW w:w="1169"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+ 3,0%</w:t>
            </w:r>
          </w:p>
        </w:tc>
        <w:tc>
          <w:tcPr>
            <w:tcW w:w="1276"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60,495</w:t>
            </w:r>
          </w:p>
        </w:tc>
        <w:tc>
          <w:tcPr>
            <w:tcW w:w="1362" w:type="dxa"/>
            <w:tcBorders>
              <w:top w:val="single" w:sz="4" w:space="0" w:color="000000"/>
              <w:left w:val="single" w:sz="4" w:space="0" w:color="000000"/>
              <w:bottom w:val="single" w:sz="4" w:space="0" w:color="000000"/>
              <w:right w:val="single" w:sz="4" w:space="0" w:color="000000"/>
            </w:tcBorders>
            <w:hideMark/>
          </w:tcPr>
          <w:p w:rsidR="00CC22E3" w:rsidRDefault="00CC22E3" w:rsidP="00BC60D0">
            <w:pPr>
              <w:spacing w:after="80" w:line="240" w:lineRule="auto"/>
              <w:jc w:val="right"/>
              <w:rPr>
                <w:rFonts w:ascii="Century Gothic" w:hAnsi="Century Gothic"/>
                <w:sz w:val="20"/>
                <w:lang w:eastAsia="en-US"/>
              </w:rPr>
            </w:pPr>
            <w:r>
              <w:rPr>
                <w:sz w:val="20"/>
              </w:rPr>
              <w:t>+ 28,0%</w:t>
            </w:r>
          </w:p>
        </w:tc>
      </w:tr>
    </w:tbl>
    <w:p w:rsidR="003744E5" w:rsidRDefault="003744E5" w:rsidP="003744E5">
      <w:pPr>
        <w:spacing w:after="0" w:line="240" w:lineRule="auto"/>
        <w:rPr>
          <w:rFonts w:ascii="Times New Roman" w:hAnsi="Times New Roman" w:cs="Times New Roman"/>
          <w:sz w:val="24"/>
          <w:szCs w:val="24"/>
          <w:lang w:eastAsia="it-IT"/>
        </w:rPr>
      </w:pPr>
    </w:p>
    <w:p w:rsidR="00B42E1C" w:rsidRPr="00406F1D" w:rsidRDefault="00B42E1C" w:rsidP="003744E5">
      <w:pPr>
        <w:spacing w:after="0" w:line="240" w:lineRule="auto"/>
        <w:rPr>
          <w:rFonts w:ascii="Times New Roman" w:hAnsi="Times New Roman" w:cs="Times New Roman"/>
          <w:b/>
          <w:sz w:val="24"/>
          <w:szCs w:val="24"/>
          <w:lang w:eastAsia="it-IT"/>
        </w:rPr>
      </w:pPr>
      <w:r w:rsidRPr="00406F1D">
        <w:rPr>
          <w:rFonts w:ascii="Times New Roman" w:hAnsi="Times New Roman" w:cs="Times New Roman"/>
          <w:b/>
          <w:sz w:val="24"/>
          <w:szCs w:val="24"/>
          <w:lang w:eastAsia="it-IT"/>
        </w:rPr>
        <w:t xml:space="preserve"> I CREDITI CLIENTELARI DEI BANCHIERI A</w:t>
      </w:r>
      <w:r w:rsidR="00406F1D" w:rsidRPr="00406F1D">
        <w:rPr>
          <w:rFonts w:ascii="Times New Roman" w:hAnsi="Times New Roman" w:cs="Times New Roman"/>
          <w:b/>
          <w:sz w:val="24"/>
          <w:szCs w:val="24"/>
          <w:lang w:eastAsia="it-IT"/>
        </w:rPr>
        <w:t xml:space="preserve">D AMICI E COMPARI: LO </w:t>
      </w:r>
      <w:r w:rsidRPr="00406F1D">
        <w:rPr>
          <w:rFonts w:ascii="Times New Roman" w:hAnsi="Times New Roman" w:cs="Times New Roman"/>
          <w:b/>
          <w:sz w:val="24"/>
          <w:szCs w:val="24"/>
          <w:lang w:eastAsia="it-IT"/>
        </w:rPr>
        <w:t xml:space="preserve">STUDIO UBS </w:t>
      </w:r>
    </w:p>
    <w:p w:rsidR="00406F1D" w:rsidRDefault="00406F1D" w:rsidP="003744E5">
      <w:pPr>
        <w:spacing w:after="0" w:line="240" w:lineRule="auto"/>
        <w:rPr>
          <w:rFonts w:ascii="Times New Roman" w:hAnsi="Times New Roman" w:cs="Times New Roman"/>
          <w:sz w:val="24"/>
          <w:szCs w:val="24"/>
          <w:lang w:eastAsia="it-IT"/>
        </w:rPr>
      </w:pPr>
    </w:p>
    <w:p w:rsidR="003744E5" w:rsidRPr="003744E5" w:rsidRDefault="003744E5" w:rsidP="003744E5">
      <w:pPr>
        <w:spacing w:after="0" w:line="240" w:lineRule="auto"/>
        <w:rPr>
          <w:rFonts w:ascii="Times New Roman" w:eastAsia="Times New Roman" w:hAnsi="Times New Roman" w:cs="Century Gothic"/>
          <w:bCs/>
          <w:iCs/>
          <w:kern w:val="36"/>
          <w:sz w:val="24"/>
          <w:szCs w:val="24"/>
          <w:lang w:eastAsia="it-IT"/>
        </w:rPr>
      </w:pPr>
      <w:r>
        <w:rPr>
          <w:rFonts w:ascii="Times New Roman" w:hAnsi="Times New Roman" w:cs="Times New Roman"/>
          <w:sz w:val="24"/>
          <w:szCs w:val="24"/>
          <w:lang w:eastAsia="it-IT"/>
        </w:rPr>
        <w:t>Secondo un recente studio di UBS (Unione Banche Svizzere)</w:t>
      </w:r>
      <w:r w:rsidR="007C1AD8">
        <w:rPr>
          <w:rFonts w:ascii="Times New Roman" w:hAnsi="Times New Roman" w:cs="Times New Roman"/>
          <w:sz w:val="24"/>
          <w:szCs w:val="24"/>
          <w:lang w:eastAsia="it-IT"/>
        </w:rPr>
        <w:t>(*)</w:t>
      </w:r>
      <w:r>
        <w:rPr>
          <w:rFonts w:ascii="Times New Roman" w:hAnsi="Times New Roman" w:cs="Times New Roman"/>
          <w:sz w:val="24"/>
          <w:szCs w:val="24"/>
          <w:lang w:eastAsia="it-IT"/>
        </w:rPr>
        <w:t xml:space="preserve"> l</w:t>
      </w:r>
      <w:r w:rsidRPr="003744E5">
        <w:rPr>
          <w:rFonts w:ascii="Times New Roman" w:hAnsi="Times New Roman" w:cs="Times New Roman"/>
          <w:sz w:val="24"/>
          <w:szCs w:val="24"/>
          <w:lang w:eastAsia="it-IT"/>
        </w:rPr>
        <w:t xml:space="preserve">’Italia rappresenta uno dei maggiori mercati europei di </w:t>
      </w:r>
      <w:r w:rsidRPr="003744E5">
        <w:rPr>
          <w:rFonts w:ascii="Times New Roman" w:hAnsi="Times New Roman" w:cs="Times New Roman"/>
          <w:i/>
          <w:sz w:val="24"/>
          <w:szCs w:val="24"/>
          <w:lang w:eastAsia="it-IT"/>
        </w:rPr>
        <w:t xml:space="preserve">Non </w:t>
      </w:r>
      <w:proofErr w:type="spellStart"/>
      <w:r w:rsidRPr="003744E5">
        <w:rPr>
          <w:rFonts w:ascii="Times New Roman" w:hAnsi="Times New Roman" w:cs="Times New Roman"/>
          <w:i/>
          <w:sz w:val="24"/>
          <w:szCs w:val="24"/>
          <w:lang w:eastAsia="it-IT"/>
        </w:rPr>
        <w:t>Performing</w:t>
      </w:r>
      <w:proofErr w:type="spellEnd"/>
      <w:r w:rsidRPr="003744E5">
        <w:rPr>
          <w:rFonts w:ascii="Times New Roman" w:hAnsi="Times New Roman" w:cs="Times New Roman"/>
          <w:i/>
          <w:sz w:val="24"/>
          <w:szCs w:val="24"/>
          <w:lang w:eastAsia="it-IT"/>
        </w:rPr>
        <w:t xml:space="preserve"> </w:t>
      </w:r>
      <w:proofErr w:type="spellStart"/>
      <w:r w:rsidRPr="003744E5">
        <w:rPr>
          <w:rFonts w:ascii="Times New Roman" w:hAnsi="Times New Roman" w:cs="Times New Roman"/>
          <w:i/>
          <w:sz w:val="24"/>
          <w:szCs w:val="24"/>
          <w:lang w:eastAsia="it-IT"/>
        </w:rPr>
        <w:t>Loan</w:t>
      </w:r>
      <w:proofErr w:type="spellEnd"/>
      <w:r w:rsidRPr="003744E5">
        <w:rPr>
          <w:rFonts w:ascii="Times New Roman" w:hAnsi="Times New Roman" w:cs="Times New Roman"/>
          <w:sz w:val="24"/>
          <w:szCs w:val="24"/>
          <w:lang w:eastAsia="it-IT"/>
        </w:rPr>
        <w:t xml:space="preserve"> (</w:t>
      </w:r>
      <w:proofErr w:type="spellStart"/>
      <w:r w:rsidRPr="003744E5">
        <w:rPr>
          <w:rFonts w:ascii="Times New Roman" w:hAnsi="Times New Roman" w:cs="Times New Roman"/>
          <w:sz w:val="24"/>
          <w:szCs w:val="24"/>
          <w:lang w:eastAsia="it-IT"/>
        </w:rPr>
        <w:t>Npl</w:t>
      </w:r>
      <w:proofErr w:type="spellEnd"/>
      <w:r w:rsidRPr="003744E5">
        <w:rPr>
          <w:rFonts w:ascii="Times New Roman" w:hAnsi="Times New Roman" w:cs="Times New Roman"/>
          <w:sz w:val="24"/>
          <w:szCs w:val="24"/>
          <w:lang w:eastAsia="it-IT"/>
        </w:rPr>
        <w:t xml:space="preserve">), con una dimensione di 243 miliardi di euro e con uno dei peggiori rapporti di copertura del rischio, pari </w:t>
      </w:r>
      <w:r>
        <w:rPr>
          <w:rFonts w:ascii="Times New Roman" w:hAnsi="Times New Roman" w:cs="Times New Roman"/>
          <w:sz w:val="24"/>
          <w:szCs w:val="24"/>
          <w:lang w:eastAsia="it-IT"/>
        </w:rPr>
        <w:t>ad una media de</w:t>
      </w:r>
      <w:r w:rsidRPr="003744E5">
        <w:rPr>
          <w:rFonts w:ascii="Times New Roman" w:hAnsi="Times New Roman" w:cs="Times New Roman"/>
          <w:sz w:val="24"/>
          <w:szCs w:val="24"/>
          <w:lang w:eastAsia="it-IT"/>
        </w:rPr>
        <w:t xml:space="preserve">l 38,4%. </w:t>
      </w:r>
      <w:r w:rsidRPr="003744E5">
        <w:rPr>
          <w:rFonts w:ascii="Times New Roman" w:eastAsia="Times New Roman" w:hAnsi="Times New Roman" w:cs="Century Gothic"/>
          <w:bCs/>
          <w:iCs/>
          <w:kern w:val="36"/>
          <w:sz w:val="24"/>
          <w:szCs w:val="24"/>
          <w:lang w:eastAsia="it-IT"/>
        </w:rPr>
        <w:t>Quanto al</w:t>
      </w:r>
      <w:r w:rsidRPr="003744E5">
        <w:rPr>
          <w:rFonts w:ascii="Times New Roman" w:eastAsia="Times New Roman" w:hAnsi="Times New Roman" w:cs="Century Gothic"/>
          <w:bCs/>
          <w:i/>
          <w:iCs/>
          <w:kern w:val="36"/>
          <w:sz w:val="24"/>
          <w:szCs w:val="24"/>
          <w:lang w:eastAsia="it-IT"/>
        </w:rPr>
        <w:t xml:space="preserve"> </w:t>
      </w:r>
      <w:proofErr w:type="spellStart"/>
      <w:r w:rsidRPr="003744E5">
        <w:rPr>
          <w:rFonts w:ascii="Times New Roman" w:eastAsia="Times New Roman" w:hAnsi="Times New Roman" w:cs="Century Gothic"/>
          <w:bCs/>
          <w:i/>
          <w:iCs/>
          <w:kern w:val="36"/>
          <w:sz w:val="24"/>
          <w:szCs w:val="24"/>
          <w:lang w:eastAsia="it-IT"/>
        </w:rPr>
        <w:t>coverage</w:t>
      </w:r>
      <w:proofErr w:type="spellEnd"/>
      <w:r w:rsidRPr="003744E5">
        <w:rPr>
          <w:rFonts w:ascii="Times New Roman" w:eastAsia="Times New Roman" w:hAnsi="Times New Roman" w:cs="Century Gothic"/>
          <w:bCs/>
          <w:i/>
          <w:iCs/>
          <w:kern w:val="36"/>
          <w:sz w:val="24"/>
          <w:szCs w:val="24"/>
          <w:lang w:eastAsia="it-IT"/>
        </w:rPr>
        <w:t xml:space="preserve"> ratio</w:t>
      </w:r>
      <w:r w:rsidRPr="003744E5">
        <w:rPr>
          <w:rFonts w:ascii="Times New Roman" w:eastAsia="Times New Roman" w:hAnsi="Times New Roman" w:cs="Century Gothic"/>
          <w:bCs/>
          <w:iCs/>
          <w:kern w:val="36"/>
          <w:sz w:val="24"/>
          <w:szCs w:val="24"/>
          <w:lang w:eastAsia="it-IT"/>
        </w:rPr>
        <w:t xml:space="preserve"> (o</w:t>
      </w:r>
      <w:r>
        <w:rPr>
          <w:rFonts w:ascii="Times New Roman" w:eastAsia="Times New Roman" w:hAnsi="Times New Roman" w:cs="Century Gothic"/>
          <w:bCs/>
          <w:iCs/>
          <w:kern w:val="36"/>
          <w:sz w:val="24"/>
          <w:szCs w:val="24"/>
          <w:lang w:eastAsia="it-IT"/>
        </w:rPr>
        <w:t xml:space="preserve">ssia </w:t>
      </w:r>
      <w:r w:rsidRPr="003744E5">
        <w:rPr>
          <w:rFonts w:ascii="Times New Roman" w:eastAsia="Times New Roman" w:hAnsi="Times New Roman" w:cs="Century Gothic"/>
          <w:bCs/>
          <w:iCs/>
          <w:kern w:val="36"/>
          <w:sz w:val="24"/>
          <w:szCs w:val="24"/>
          <w:lang w:eastAsia="it-IT"/>
        </w:rPr>
        <w:t xml:space="preserve">la quantità di riserve utili a coprire i </w:t>
      </w:r>
      <w:r w:rsidRPr="003744E5">
        <w:rPr>
          <w:rFonts w:ascii="Times New Roman" w:eastAsia="Times New Roman" w:hAnsi="Times New Roman" w:cs="Century Gothic"/>
          <w:bCs/>
          <w:i/>
          <w:iCs/>
          <w:kern w:val="36"/>
          <w:sz w:val="24"/>
          <w:szCs w:val="24"/>
          <w:lang w:eastAsia="it-IT"/>
        </w:rPr>
        <w:t xml:space="preserve">non </w:t>
      </w:r>
      <w:proofErr w:type="spellStart"/>
      <w:r w:rsidRPr="003744E5">
        <w:rPr>
          <w:rFonts w:ascii="Times New Roman" w:eastAsia="Times New Roman" w:hAnsi="Times New Roman" w:cs="Century Gothic"/>
          <w:bCs/>
          <w:i/>
          <w:iCs/>
          <w:kern w:val="36"/>
          <w:sz w:val="24"/>
          <w:szCs w:val="24"/>
          <w:lang w:eastAsia="it-IT"/>
        </w:rPr>
        <w:t>performing</w:t>
      </w:r>
      <w:proofErr w:type="spellEnd"/>
      <w:r w:rsidRPr="003744E5">
        <w:rPr>
          <w:rFonts w:ascii="Times New Roman" w:eastAsia="Times New Roman" w:hAnsi="Times New Roman" w:cs="Century Gothic"/>
          <w:bCs/>
          <w:i/>
          <w:iCs/>
          <w:kern w:val="36"/>
          <w:sz w:val="24"/>
          <w:szCs w:val="24"/>
          <w:lang w:eastAsia="it-IT"/>
        </w:rPr>
        <w:t xml:space="preserve"> </w:t>
      </w:r>
      <w:proofErr w:type="spellStart"/>
      <w:r w:rsidRPr="003744E5">
        <w:rPr>
          <w:rFonts w:ascii="Times New Roman" w:eastAsia="Times New Roman" w:hAnsi="Times New Roman" w:cs="Century Gothic"/>
          <w:bCs/>
          <w:i/>
          <w:iCs/>
          <w:kern w:val="36"/>
          <w:sz w:val="24"/>
          <w:szCs w:val="24"/>
          <w:lang w:eastAsia="it-IT"/>
        </w:rPr>
        <w:t>loan</w:t>
      </w:r>
      <w:proofErr w:type="spellEnd"/>
      <w:r w:rsidRPr="003744E5">
        <w:rPr>
          <w:rFonts w:ascii="Times New Roman" w:eastAsia="Times New Roman" w:hAnsi="Times New Roman" w:cs="Century Gothic"/>
          <w:bCs/>
          <w:iCs/>
          <w:kern w:val="36"/>
          <w:sz w:val="24"/>
          <w:szCs w:val="24"/>
          <w:lang w:eastAsia="it-IT"/>
        </w:rPr>
        <w:t>)</w:t>
      </w:r>
      <w:r>
        <w:rPr>
          <w:rFonts w:ascii="Times New Roman" w:eastAsia="Times New Roman" w:hAnsi="Times New Roman" w:cs="Century Gothic"/>
          <w:bCs/>
          <w:iCs/>
          <w:kern w:val="36"/>
          <w:sz w:val="24"/>
          <w:szCs w:val="24"/>
          <w:lang w:eastAsia="it-IT"/>
        </w:rPr>
        <w:t>,siamo superati solo dal</w:t>
      </w:r>
      <w:r w:rsidRPr="003744E5">
        <w:rPr>
          <w:rFonts w:ascii="Times New Roman" w:eastAsia="Times New Roman" w:hAnsi="Times New Roman" w:cs="Century Gothic"/>
          <w:bCs/>
          <w:iCs/>
          <w:kern w:val="36"/>
          <w:sz w:val="24"/>
          <w:szCs w:val="24"/>
          <w:lang w:eastAsia="it-IT"/>
        </w:rPr>
        <w:t xml:space="preserve">la Spagna con il 37,4%, </w:t>
      </w:r>
      <w:r>
        <w:rPr>
          <w:rFonts w:ascii="Times New Roman" w:eastAsia="Times New Roman" w:hAnsi="Times New Roman" w:cs="Century Gothic"/>
          <w:bCs/>
          <w:iCs/>
          <w:kern w:val="36"/>
          <w:sz w:val="24"/>
          <w:szCs w:val="24"/>
          <w:lang w:eastAsia="it-IT"/>
        </w:rPr>
        <w:t>il cui</w:t>
      </w:r>
      <w:r w:rsidRPr="003744E5">
        <w:rPr>
          <w:rFonts w:ascii="Times New Roman" w:eastAsia="Times New Roman" w:hAnsi="Times New Roman" w:cs="Century Gothic"/>
          <w:bCs/>
          <w:iCs/>
          <w:kern w:val="36"/>
          <w:sz w:val="24"/>
          <w:szCs w:val="24"/>
          <w:lang w:eastAsia="it-IT"/>
        </w:rPr>
        <w:t xml:space="preserve"> stock di crediti deteriorati </w:t>
      </w:r>
      <w:r>
        <w:rPr>
          <w:rFonts w:ascii="Times New Roman" w:eastAsia="Times New Roman" w:hAnsi="Times New Roman" w:cs="Century Gothic"/>
          <w:bCs/>
          <w:iCs/>
          <w:kern w:val="36"/>
          <w:sz w:val="24"/>
          <w:szCs w:val="24"/>
          <w:lang w:eastAsia="it-IT"/>
        </w:rPr>
        <w:t xml:space="preserve">pari a 184 miliardi è inferiore.  </w:t>
      </w:r>
      <w:r w:rsidRPr="003744E5">
        <w:rPr>
          <w:rFonts w:ascii="Times New Roman" w:eastAsia="Times New Roman" w:hAnsi="Times New Roman" w:cs="Century Gothic"/>
          <w:bCs/>
          <w:iCs/>
          <w:kern w:val="36"/>
          <w:sz w:val="24"/>
          <w:szCs w:val="24"/>
          <w:lang w:eastAsia="it-IT"/>
        </w:rPr>
        <w:t xml:space="preserve">La Francia ha  171 miliardi di </w:t>
      </w:r>
      <w:proofErr w:type="spellStart"/>
      <w:r w:rsidRPr="003744E5">
        <w:rPr>
          <w:rFonts w:ascii="Times New Roman" w:eastAsia="Times New Roman" w:hAnsi="Times New Roman" w:cs="Century Gothic"/>
          <w:bCs/>
          <w:iCs/>
          <w:kern w:val="36"/>
          <w:sz w:val="24"/>
          <w:szCs w:val="24"/>
          <w:lang w:eastAsia="it-IT"/>
        </w:rPr>
        <w:t>Npl</w:t>
      </w:r>
      <w:proofErr w:type="spellEnd"/>
      <w:r w:rsidRPr="003744E5">
        <w:rPr>
          <w:rFonts w:ascii="Times New Roman" w:eastAsia="Times New Roman" w:hAnsi="Times New Roman" w:cs="Century Gothic"/>
          <w:bCs/>
          <w:iCs/>
          <w:kern w:val="36"/>
          <w:sz w:val="24"/>
          <w:szCs w:val="24"/>
          <w:lang w:eastAsia="it-IT"/>
        </w:rPr>
        <w:t xml:space="preserve"> e un </w:t>
      </w:r>
      <w:proofErr w:type="spellStart"/>
      <w:r w:rsidRPr="003744E5">
        <w:rPr>
          <w:rFonts w:ascii="Times New Roman" w:eastAsia="Times New Roman" w:hAnsi="Times New Roman" w:cs="Century Gothic"/>
          <w:bCs/>
          <w:i/>
          <w:iCs/>
          <w:kern w:val="36"/>
          <w:sz w:val="24"/>
          <w:szCs w:val="24"/>
          <w:lang w:eastAsia="it-IT"/>
        </w:rPr>
        <w:t>coverage</w:t>
      </w:r>
      <w:proofErr w:type="spellEnd"/>
      <w:r w:rsidRPr="003744E5">
        <w:rPr>
          <w:rFonts w:ascii="Times New Roman" w:eastAsia="Times New Roman" w:hAnsi="Times New Roman" w:cs="Century Gothic"/>
          <w:bCs/>
          <w:i/>
          <w:iCs/>
          <w:kern w:val="36"/>
          <w:sz w:val="24"/>
          <w:szCs w:val="24"/>
          <w:lang w:eastAsia="it-IT"/>
        </w:rPr>
        <w:t xml:space="preserve"> ratio</w:t>
      </w:r>
      <w:r w:rsidRPr="003744E5">
        <w:rPr>
          <w:rFonts w:ascii="Times New Roman" w:eastAsia="Times New Roman" w:hAnsi="Times New Roman" w:cs="Century Gothic"/>
          <w:bCs/>
          <w:iCs/>
          <w:kern w:val="36"/>
          <w:sz w:val="24"/>
          <w:szCs w:val="24"/>
          <w:lang w:eastAsia="it-IT"/>
        </w:rPr>
        <w:t xml:space="preserve"> del 61%;</w:t>
      </w:r>
      <w:r>
        <w:rPr>
          <w:rFonts w:ascii="Times New Roman" w:eastAsia="Times New Roman" w:hAnsi="Times New Roman" w:cs="Century Gothic"/>
          <w:bCs/>
          <w:iCs/>
          <w:kern w:val="36"/>
          <w:sz w:val="24"/>
          <w:szCs w:val="24"/>
          <w:lang w:eastAsia="it-IT"/>
        </w:rPr>
        <w:t xml:space="preserve"> </w:t>
      </w:r>
      <w:r w:rsidR="00BA2E5C">
        <w:rPr>
          <w:rFonts w:ascii="Times New Roman" w:eastAsia="Times New Roman" w:hAnsi="Times New Roman" w:cs="Century Gothic"/>
          <w:bCs/>
          <w:iCs/>
          <w:kern w:val="36"/>
          <w:sz w:val="24"/>
          <w:szCs w:val="24"/>
          <w:lang w:eastAsia="it-IT"/>
        </w:rPr>
        <w:t xml:space="preserve"> </w:t>
      </w:r>
      <w:r w:rsidRPr="003744E5">
        <w:rPr>
          <w:rFonts w:ascii="Times New Roman" w:eastAsia="Times New Roman" w:hAnsi="Times New Roman" w:cs="Century Gothic"/>
          <w:bCs/>
          <w:iCs/>
          <w:kern w:val="36"/>
          <w:sz w:val="24"/>
          <w:szCs w:val="24"/>
          <w:lang w:eastAsia="it-IT"/>
        </w:rPr>
        <w:t>i</w:t>
      </w:r>
      <w:r>
        <w:rPr>
          <w:rFonts w:ascii="Times New Roman" w:eastAsia="Times New Roman" w:hAnsi="Times New Roman" w:cs="Century Gothic"/>
          <w:bCs/>
          <w:iCs/>
          <w:kern w:val="36"/>
          <w:sz w:val="24"/>
          <w:szCs w:val="24"/>
          <w:lang w:eastAsia="it-IT"/>
        </w:rPr>
        <w:t>l</w:t>
      </w:r>
      <w:r w:rsidRPr="003744E5">
        <w:rPr>
          <w:rFonts w:ascii="Times New Roman" w:eastAsia="Times New Roman" w:hAnsi="Times New Roman" w:cs="Century Gothic"/>
          <w:bCs/>
          <w:iCs/>
          <w:kern w:val="36"/>
          <w:sz w:val="24"/>
          <w:szCs w:val="24"/>
          <w:lang w:eastAsia="it-IT"/>
        </w:rPr>
        <w:t xml:space="preserve"> Regno Unito 146 miliardi </w:t>
      </w:r>
      <w:r w:rsidR="00BA2E5C">
        <w:rPr>
          <w:rFonts w:ascii="Times New Roman" w:eastAsia="Times New Roman" w:hAnsi="Times New Roman" w:cs="Century Gothic"/>
          <w:bCs/>
          <w:iCs/>
          <w:kern w:val="36"/>
          <w:sz w:val="24"/>
          <w:szCs w:val="24"/>
          <w:lang w:eastAsia="it-IT"/>
        </w:rPr>
        <w:t>pari al</w:t>
      </w:r>
      <w:r w:rsidRPr="003744E5">
        <w:rPr>
          <w:rFonts w:ascii="Times New Roman" w:eastAsia="Times New Roman" w:hAnsi="Times New Roman" w:cs="Century Gothic"/>
          <w:bCs/>
          <w:iCs/>
          <w:kern w:val="36"/>
          <w:sz w:val="24"/>
          <w:szCs w:val="24"/>
          <w:lang w:eastAsia="it-IT"/>
        </w:rPr>
        <w:t xml:space="preserve"> 58,3%.</w:t>
      </w:r>
      <w:r w:rsidR="00BA2E5C">
        <w:rPr>
          <w:rFonts w:ascii="Times New Roman" w:eastAsia="Times New Roman" w:hAnsi="Times New Roman" w:cs="Century Gothic"/>
          <w:bCs/>
          <w:iCs/>
          <w:kern w:val="36"/>
          <w:sz w:val="24"/>
          <w:szCs w:val="24"/>
          <w:lang w:eastAsia="it-IT"/>
        </w:rPr>
        <w:t xml:space="preserve"> La migliore prova provata di banchieri italiani</w:t>
      </w:r>
      <w:r w:rsidR="00063863">
        <w:rPr>
          <w:rFonts w:ascii="Times New Roman" w:eastAsia="Times New Roman" w:hAnsi="Times New Roman" w:cs="Century Gothic"/>
          <w:bCs/>
          <w:iCs/>
          <w:kern w:val="36"/>
          <w:sz w:val="24"/>
          <w:szCs w:val="24"/>
          <w:lang w:eastAsia="it-IT"/>
        </w:rPr>
        <w:t xml:space="preserve">, adusi ad </w:t>
      </w:r>
      <w:r w:rsidR="00BA2E5C">
        <w:rPr>
          <w:rFonts w:ascii="Times New Roman" w:eastAsia="Times New Roman" w:hAnsi="Times New Roman" w:cs="Century Gothic"/>
          <w:bCs/>
          <w:iCs/>
          <w:kern w:val="36"/>
          <w:sz w:val="24"/>
          <w:szCs w:val="24"/>
          <w:lang w:eastAsia="it-IT"/>
        </w:rPr>
        <w:t>eroga</w:t>
      </w:r>
      <w:r w:rsidR="00063863">
        <w:rPr>
          <w:rFonts w:ascii="Times New Roman" w:eastAsia="Times New Roman" w:hAnsi="Times New Roman" w:cs="Century Gothic"/>
          <w:bCs/>
          <w:iCs/>
          <w:kern w:val="36"/>
          <w:sz w:val="24"/>
          <w:szCs w:val="24"/>
          <w:lang w:eastAsia="it-IT"/>
        </w:rPr>
        <w:t>re</w:t>
      </w:r>
      <w:r w:rsidR="00BA2E5C">
        <w:rPr>
          <w:rFonts w:ascii="Times New Roman" w:eastAsia="Times New Roman" w:hAnsi="Times New Roman" w:cs="Century Gothic"/>
          <w:bCs/>
          <w:iCs/>
          <w:kern w:val="36"/>
          <w:sz w:val="24"/>
          <w:szCs w:val="24"/>
          <w:lang w:eastAsia="it-IT"/>
        </w:rPr>
        <w:t xml:space="preserve"> finanziamenti clientelari a gruppi amicali e combriccole di potere, negando i prestiti ai meritevoli, palla al piede a sviluppo e ripresa economica per superare la cattiva congiuntura e l’uscita dalla crisi sistemica generata dalle banche.</w:t>
      </w:r>
    </w:p>
    <w:p w:rsidR="00406F1D" w:rsidRDefault="00406F1D" w:rsidP="003744E5">
      <w:pPr>
        <w:spacing w:after="0" w:line="240" w:lineRule="auto"/>
        <w:jc w:val="left"/>
        <w:textAlignment w:val="baseline"/>
        <w:rPr>
          <w:rFonts w:ascii="Times New Roman" w:eastAsia="Times New Roman" w:hAnsi="Times New Roman" w:cs="Century Gothic"/>
          <w:b/>
          <w:iCs/>
          <w:kern w:val="36"/>
          <w:sz w:val="24"/>
          <w:szCs w:val="24"/>
          <w:bdr w:val="none" w:sz="0" w:space="0" w:color="auto" w:frame="1"/>
          <w:lang w:eastAsia="it-IT"/>
        </w:rPr>
      </w:pPr>
    </w:p>
    <w:p w:rsidR="003744E5" w:rsidRPr="003744E5" w:rsidRDefault="003744E5" w:rsidP="003744E5">
      <w:pPr>
        <w:spacing w:after="0" w:line="240" w:lineRule="auto"/>
        <w:jc w:val="left"/>
        <w:textAlignment w:val="baseline"/>
        <w:rPr>
          <w:rFonts w:ascii="Times New Roman" w:eastAsia="Times New Roman" w:hAnsi="Times New Roman" w:cs="Century Gothic"/>
          <w:bCs/>
          <w:iCs/>
          <w:kern w:val="36"/>
          <w:sz w:val="24"/>
          <w:szCs w:val="24"/>
          <w:lang w:eastAsia="it-IT"/>
        </w:rPr>
      </w:pPr>
      <w:r w:rsidRPr="003744E5">
        <w:rPr>
          <w:rFonts w:ascii="Times New Roman" w:eastAsia="Times New Roman" w:hAnsi="Times New Roman" w:cs="Century Gothic"/>
          <w:b/>
          <w:iCs/>
          <w:kern w:val="36"/>
          <w:sz w:val="24"/>
          <w:szCs w:val="24"/>
          <w:bdr w:val="none" w:sz="0" w:space="0" w:color="auto" w:frame="1"/>
          <w:lang w:eastAsia="it-IT"/>
        </w:rPr>
        <w:t>UNICREDIT</w:t>
      </w:r>
      <w:r w:rsidR="0032701C">
        <w:rPr>
          <w:rFonts w:ascii="Times New Roman" w:eastAsia="Times New Roman" w:hAnsi="Times New Roman" w:cs="Century Gothic"/>
          <w:b/>
          <w:iCs/>
          <w:kern w:val="36"/>
          <w:sz w:val="24"/>
          <w:szCs w:val="24"/>
          <w:bdr w:val="none" w:sz="0" w:space="0" w:color="auto" w:frame="1"/>
          <w:lang w:eastAsia="it-IT"/>
        </w:rPr>
        <w:t xml:space="preserve">, </w:t>
      </w:r>
      <w:r w:rsidR="003F1F77">
        <w:rPr>
          <w:rFonts w:ascii="Times New Roman" w:eastAsia="Times New Roman" w:hAnsi="Times New Roman" w:cs="Century Gothic"/>
          <w:b/>
          <w:iCs/>
          <w:kern w:val="36"/>
          <w:sz w:val="24"/>
          <w:szCs w:val="24"/>
          <w:bdr w:val="none" w:sz="0" w:space="0" w:color="auto" w:frame="1"/>
          <w:lang w:eastAsia="it-IT"/>
        </w:rPr>
        <w:t xml:space="preserve"> </w:t>
      </w:r>
      <w:r w:rsidR="0032701C">
        <w:rPr>
          <w:rFonts w:ascii="Times New Roman" w:eastAsia="Times New Roman" w:hAnsi="Times New Roman" w:cs="Century Gothic"/>
          <w:b/>
          <w:iCs/>
          <w:kern w:val="36"/>
          <w:sz w:val="24"/>
          <w:szCs w:val="24"/>
          <w:bdr w:val="none" w:sz="0" w:space="0" w:color="auto" w:frame="1"/>
          <w:lang w:eastAsia="it-IT"/>
        </w:rPr>
        <w:t>LA BANCA PIU’ INCAGLIATA</w:t>
      </w:r>
    </w:p>
    <w:p w:rsidR="003744E5" w:rsidRPr="003744E5" w:rsidRDefault="003744E5" w:rsidP="003744E5">
      <w:pPr>
        <w:spacing w:after="0" w:line="240" w:lineRule="auto"/>
        <w:textAlignment w:val="baseline"/>
        <w:rPr>
          <w:rFonts w:ascii="Times New Roman" w:eastAsia="Times New Roman" w:hAnsi="Times New Roman" w:cs="Century Gothic"/>
          <w:bCs/>
          <w:iCs/>
          <w:kern w:val="36"/>
          <w:sz w:val="24"/>
          <w:szCs w:val="24"/>
          <w:lang w:eastAsia="it-IT"/>
        </w:rPr>
      </w:pPr>
      <w:r w:rsidRPr="003744E5">
        <w:rPr>
          <w:rFonts w:ascii="Times New Roman" w:eastAsia="Times New Roman" w:hAnsi="Times New Roman" w:cs="Century Gothic"/>
          <w:bCs/>
          <w:iCs/>
          <w:kern w:val="36"/>
          <w:sz w:val="24"/>
          <w:szCs w:val="24"/>
          <w:lang w:eastAsia="it-IT"/>
        </w:rPr>
        <w:t xml:space="preserve">La </w:t>
      </w:r>
      <w:r w:rsidR="00063863">
        <w:rPr>
          <w:rFonts w:ascii="Times New Roman" w:eastAsia="Times New Roman" w:hAnsi="Times New Roman" w:cs="Century Gothic"/>
          <w:bCs/>
          <w:iCs/>
          <w:kern w:val="36"/>
          <w:sz w:val="24"/>
          <w:szCs w:val="24"/>
          <w:lang w:eastAsia="it-IT"/>
        </w:rPr>
        <w:t>massa</w:t>
      </w:r>
      <w:r w:rsidRPr="003744E5">
        <w:rPr>
          <w:rFonts w:ascii="Times New Roman" w:eastAsia="Times New Roman" w:hAnsi="Times New Roman" w:cs="Century Gothic"/>
          <w:bCs/>
          <w:iCs/>
          <w:kern w:val="36"/>
          <w:sz w:val="24"/>
          <w:szCs w:val="24"/>
          <w:lang w:eastAsia="it-IT"/>
        </w:rPr>
        <w:t xml:space="preserve"> di 243 miliardi di crediti scaduti, ristrutturati, incagli</w:t>
      </w:r>
      <w:r w:rsidR="00063863">
        <w:rPr>
          <w:rFonts w:ascii="Times New Roman" w:eastAsia="Times New Roman" w:hAnsi="Times New Roman" w:cs="Century Gothic"/>
          <w:bCs/>
          <w:iCs/>
          <w:kern w:val="36"/>
          <w:sz w:val="24"/>
          <w:szCs w:val="24"/>
          <w:lang w:eastAsia="it-IT"/>
        </w:rPr>
        <w:t>ati o girati a</w:t>
      </w:r>
      <w:r w:rsidRPr="003744E5">
        <w:rPr>
          <w:rFonts w:ascii="Times New Roman" w:eastAsia="Times New Roman" w:hAnsi="Times New Roman" w:cs="Century Gothic"/>
          <w:bCs/>
          <w:iCs/>
          <w:kern w:val="36"/>
          <w:sz w:val="24"/>
          <w:szCs w:val="24"/>
          <w:lang w:eastAsia="it-IT"/>
        </w:rPr>
        <w:t xml:space="preserve"> sofferenz</w:t>
      </w:r>
      <w:r w:rsidR="00063863">
        <w:rPr>
          <w:rFonts w:ascii="Times New Roman" w:eastAsia="Times New Roman" w:hAnsi="Times New Roman" w:cs="Century Gothic"/>
          <w:bCs/>
          <w:iCs/>
          <w:kern w:val="36"/>
          <w:sz w:val="24"/>
          <w:szCs w:val="24"/>
          <w:lang w:eastAsia="it-IT"/>
        </w:rPr>
        <w:t>a</w:t>
      </w:r>
      <w:r w:rsidRPr="003744E5">
        <w:rPr>
          <w:rFonts w:ascii="Times New Roman" w:eastAsia="Times New Roman" w:hAnsi="Times New Roman" w:cs="Century Gothic"/>
          <w:bCs/>
          <w:iCs/>
          <w:kern w:val="36"/>
          <w:sz w:val="24"/>
          <w:szCs w:val="24"/>
          <w:lang w:eastAsia="it-IT"/>
        </w:rPr>
        <w:t xml:space="preserve"> è </w:t>
      </w:r>
      <w:r w:rsidR="00063863">
        <w:rPr>
          <w:rFonts w:ascii="Times New Roman" w:eastAsia="Times New Roman" w:hAnsi="Times New Roman" w:cs="Century Gothic"/>
          <w:bCs/>
          <w:iCs/>
          <w:kern w:val="36"/>
          <w:sz w:val="24"/>
          <w:szCs w:val="24"/>
          <w:lang w:eastAsia="it-IT"/>
        </w:rPr>
        <w:t>così divisa secondo lo studio UBS: 55,9 miliardi di euro (pari a</w:t>
      </w:r>
      <w:r w:rsidRPr="003744E5">
        <w:rPr>
          <w:rFonts w:ascii="Times New Roman" w:eastAsia="Times New Roman" w:hAnsi="Times New Roman" w:cs="Century Gothic"/>
          <w:bCs/>
          <w:iCs/>
          <w:kern w:val="36"/>
          <w:sz w:val="24"/>
          <w:szCs w:val="24"/>
          <w:lang w:eastAsia="it-IT"/>
        </w:rPr>
        <w:t>l 23%</w:t>
      </w:r>
      <w:r w:rsidR="00063863">
        <w:rPr>
          <w:rFonts w:ascii="Times New Roman" w:eastAsia="Times New Roman" w:hAnsi="Times New Roman" w:cs="Century Gothic"/>
          <w:bCs/>
          <w:iCs/>
          <w:kern w:val="36"/>
          <w:sz w:val="24"/>
          <w:szCs w:val="24"/>
          <w:lang w:eastAsia="it-IT"/>
        </w:rPr>
        <w:t>)</w:t>
      </w:r>
      <w:r w:rsidRPr="003744E5">
        <w:rPr>
          <w:rFonts w:ascii="Times New Roman" w:eastAsia="Times New Roman" w:hAnsi="Times New Roman" w:cs="Century Gothic"/>
          <w:bCs/>
          <w:iCs/>
          <w:kern w:val="36"/>
          <w:sz w:val="24"/>
          <w:szCs w:val="24"/>
          <w:lang w:eastAsia="it-IT"/>
        </w:rPr>
        <w:t xml:space="preserve"> </w:t>
      </w:r>
      <w:r w:rsidR="005F5A1E">
        <w:rPr>
          <w:rFonts w:ascii="Times New Roman" w:eastAsia="Times New Roman" w:hAnsi="Times New Roman" w:cs="Century Gothic"/>
          <w:bCs/>
          <w:iCs/>
          <w:kern w:val="36"/>
          <w:sz w:val="24"/>
          <w:szCs w:val="24"/>
          <w:lang w:eastAsia="it-IT"/>
        </w:rPr>
        <w:t>sono</w:t>
      </w:r>
      <w:r w:rsidRPr="003744E5">
        <w:rPr>
          <w:rFonts w:ascii="Times New Roman" w:eastAsia="Times New Roman" w:hAnsi="Times New Roman" w:cs="Century Gothic"/>
          <w:bCs/>
          <w:iCs/>
          <w:kern w:val="36"/>
          <w:sz w:val="24"/>
          <w:szCs w:val="24"/>
          <w:lang w:eastAsia="it-IT"/>
        </w:rPr>
        <w:t xml:space="preserve"> </w:t>
      </w:r>
      <w:r w:rsidR="005F5A1E">
        <w:rPr>
          <w:rFonts w:ascii="Times New Roman" w:eastAsia="Times New Roman" w:hAnsi="Times New Roman" w:cs="Century Gothic"/>
          <w:bCs/>
          <w:iCs/>
          <w:kern w:val="36"/>
          <w:sz w:val="24"/>
          <w:szCs w:val="24"/>
          <w:lang w:eastAsia="it-IT"/>
        </w:rPr>
        <w:t>appannaggio di</w:t>
      </w:r>
      <w:r w:rsidRPr="003744E5">
        <w:rPr>
          <w:rFonts w:ascii="Times New Roman" w:eastAsia="Times New Roman" w:hAnsi="Times New Roman" w:cs="Century Gothic"/>
          <w:bCs/>
          <w:iCs/>
          <w:kern w:val="36"/>
          <w:sz w:val="24"/>
          <w:szCs w:val="24"/>
          <w:lang w:eastAsia="it-IT"/>
        </w:rPr>
        <w:t> </w:t>
      </w:r>
      <w:r w:rsidRPr="00BC3EE5">
        <w:rPr>
          <w:rFonts w:ascii="Times New Roman" w:eastAsia="Times New Roman" w:hAnsi="Times New Roman" w:cs="Century Gothic"/>
          <w:bCs/>
          <w:iCs/>
          <w:kern w:val="36"/>
          <w:sz w:val="24"/>
          <w:szCs w:val="24"/>
          <w:lang w:eastAsia="it-IT"/>
        </w:rPr>
        <w:t>Unicredit</w:t>
      </w:r>
      <w:r w:rsidR="00063863">
        <w:rPr>
          <w:rFonts w:ascii="Times New Roman" w:eastAsia="Times New Roman" w:hAnsi="Times New Roman" w:cs="Century Gothic"/>
          <w:bCs/>
          <w:iCs/>
          <w:kern w:val="36"/>
          <w:sz w:val="24"/>
          <w:szCs w:val="24"/>
          <w:lang w:eastAsia="it-IT"/>
        </w:rPr>
        <w:t>; seguita da Banca Intesa con 48,6 miliardi (</w:t>
      </w:r>
      <w:r w:rsidRPr="003744E5">
        <w:rPr>
          <w:rFonts w:ascii="Times New Roman" w:eastAsia="Times New Roman" w:hAnsi="Times New Roman" w:cs="Century Gothic"/>
          <w:bCs/>
          <w:iCs/>
          <w:kern w:val="36"/>
          <w:sz w:val="24"/>
          <w:szCs w:val="24"/>
          <w:lang w:eastAsia="it-IT"/>
        </w:rPr>
        <w:t>20%</w:t>
      </w:r>
      <w:r w:rsidR="00063863">
        <w:rPr>
          <w:rFonts w:ascii="Times New Roman" w:eastAsia="Times New Roman" w:hAnsi="Times New Roman" w:cs="Century Gothic"/>
          <w:bCs/>
          <w:iCs/>
          <w:kern w:val="36"/>
          <w:sz w:val="24"/>
          <w:szCs w:val="24"/>
          <w:lang w:eastAsia="it-IT"/>
        </w:rPr>
        <w:t xml:space="preserve">); al terzo posto </w:t>
      </w:r>
      <w:proofErr w:type="spellStart"/>
      <w:r w:rsidR="00063863">
        <w:rPr>
          <w:rFonts w:ascii="Times New Roman" w:eastAsia="Times New Roman" w:hAnsi="Times New Roman" w:cs="Century Gothic"/>
          <w:bCs/>
          <w:iCs/>
          <w:kern w:val="36"/>
          <w:sz w:val="24"/>
          <w:szCs w:val="24"/>
          <w:lang w:eastAsia="it-IT"/>
        </w:rPr>
        <w:t>Mps</w:t>
      </w:r>
      <w:proofErr w:type="spellEnd"/>
      <w:r w:rsidR="00063863">
        <w:rPr>
          <w:rFonts w:ascii="Times New Roman" w:eastAsia="Times New Roman" w:hAnsi="Times New Roman" w:cs="Century Gothic"/>
          <w:bCs/>
          <w:iCs/>
          <w:kern w:val="36"/>
          <w:sz w:val="24"/>
          <w:szCs w:val="24"/>
          <w:lang w:eastAsia="it-IT"/>
        </w:rPr>
        <w:t xml:space="preserve"> con 29,3 miliardi ed il 12%; al quarto Banco Popolare con 17 miliardi ed il 7%; al quinto </w:t>
      </w:r>
      <w:proofErr w:type="spellStart"/>
      <w:r w:rsidR="00063863">
        <w:rPr>
          <w:rFonts w:ascii="Times New Roman" w:eastAsia="Times New Roman" w:hAnsi="Times New Roman" w:cs="Century Gothic"/>
          <w:bCs/>
          <w:iCs/>
          <w:kern w:val="36"/>
          <w:sz w:val="24"/>
          <w:szCs w:val="24"/>
          <w:lang w:eastAsia="it-IT"/>
        </w:rPr>
        <w:t>Ubi</w:t>
      </w:r>
      <w:proofErr w:type="spellEnd"/>
      <w:r w:rsidR="00063863">
        <w:rPr>
          <w:rFonts w:ascii="Times New Roman" w:eastAsia="Times New Roman" w:hAnsi="Times New Roman" w:cs="Century Gothic"/>
          <w:bCs/>
          <w:iCs/>
          <w:kern w:val="36"/>
          <w:sz w:val="24"/>
          <w:szCs w:val="24"/>
          <w:lang w:eastAsia="it-IT"/>
        </w:rPr>
        <w:t xml:space="preserve"> Banca con 12,2 miliardi ed il 5%; al sesto Banco Popolare Emilia Romagna con 7,3 miliardi ed il 3%</w:t>
      </w:r>
      <w:r w:rsidR="00BC3EE5">
        <w:rPr>
          <w:rFonts w:ascii="Times New Roman" w:eastAsia="Times New Roman" w:hAnsi="Times New Roman" w:cs="Century Gothic"/>
          <w:bCs/>
          <w:iCs/>
          <w:kern w:val="36"/>
          <w:sz w:val="24"/>
          <w:szCs w:val="24"/>
          <w:lang w:eastAsia="it-IT"/>
        </w:rPr>
        <w:t xml:space="preserve"> con il restante 30% spalmato</w:t>
      </w:r>
      <w:r w:rsidRPr="003744E5">
        <w:rPr>
          <w:rFonts w:ascii="Times New Roman" w:eastAsia="Times New Roman" w:hAnsi="Times New Roman" w:cs="Century Gothic"/>
          <w:bCs/>
          <w:iCs/>
          <w:kern w:val="36"/>
          <w:sz w:val="24"/>
          <w:szCs w:val="24"/>
          <w:lang w:eastAsia="it-IT"/>
        </w:rPr>
        <w:t xml:space="preserve"> tra le altre banche minori. </w:t>
      </w:r>
      <w:r w:rsidR="00BC3EE5">
        <w:rPr>
          <w:rFonts w:ascii="Times New Roman" w:eastAsia="Times New Roman" w:hAnsi="Times New Roman" w:cs="Century Gothic"/>
          <w:bCs/>
          <w:iCs/>
          <w:kern w:val="36"/>
          <w:sz w:val="24"/>
          <w:szCs w:val="24"/>
          <w:lang w:eastAsia="it-IT"/>
        </w:rPr>
        <w:t>I</w:t>
      </w:r>
      <w:r w:rsidRPr="003744E5">
        <w:rPr>
          <w:rFonts w:ascii="Times New Roman" w:eastAsia="Times New Roman" w:hAnsi="Times New Roman" w:cs="Century Gothic"/>
          <w:bCs/>
          <w:iCs/>
          <w:kern w:val="36"/>
          <w:sz w:val="24"/>
          <w:szCs w:val="24"/>
          <w:lang w:eastAsia="it-IT"/>
        </w:rPr>
        <w:t>l risultato –</w:t>
      </w:r>
      <w:r w:rsidR="00BC3EE5">
        <w:rPr>
          <w:rFonts w:ascii="Times New Roman" w:eastAsia="Times New Roman" w:hAnsi="Times New Roman" w:cs="Century Gothic"/>
          <w:bCs/>
          <w:iCs/>
          <w:kern w:val="36"/>
          <w:sz w:val="24"/>
          <w:szCs w:val="24"/>
          <w:lang w:eastAsia="it-IT"/>
        </w:rPr>
        <w:t xml:space="preserve"> scrive UBS- </w:t>
      </w:r>
      <w:r w:rsidRPr="003744E5">
        <w:rPr>
          <w:rFonts w:ascii="Times New Roman" w:eastAsia="Times New Roman" w:hAnsi="Times New Roman" w:cs="Century Gothic"/>
          <w:bCs/>
          <w:iCs/>
          <w:kern w:val="36"/>
          <w:sz w:val="24"/>
          <w:szCs w:val="24"/>
          <w:lang w:eastAsia="it-IT"/>
        </w:rPr>
        <w:t>è un impatto negativo sulla percezione del rischio e</w:t>
      </w:r>
      <w:r w:rsidR="00BC3EE5">
        <w:rPr>
          <w:rFonts w:ascii="Times New Roman" w:eastAsia="Times New Roman" w:hAnsi="Times New Roman" w:cs="Century Gothic"/>
          <w:bCs/>
          <w:iCs/>
          <w:kern w:val="36"/>
          <w:sz w:val="24"/>
          <w:szCs w:val="24"/>
          <w:lang w:eastAsia="it-IT"/>
        </w:rPr>
        <w:t>d</w:t>
      </w:r>
      <w:r w:rsidRPr="003744E5">
        <w:rPr>
          <w:rFonts w:ascii="Times New Roman" w:eastAsia="Times New Roman" w:hAnsi="Times New Roman" w:cs="Century Gothic"/>
          <w:bCs/>
          <w:iCs/>
          <w:kern w:val="36"/>
          <w:sz w:val="24"/>
          <w:szCs w:val="24"/>
          <w:lang w:eastAsia="it-IT"/>
        </w:rPr>
        <w:t xml:space="preserve"> </w:t>
      </w:r>
      <w:r w:rsidR="00BC3EE5">
        <w:rPr>
          <w:rFonts w:ascii="Times New Roman" w:eastAsia="Times New Roman" w:hAnsi="Times New Roman" w:cs="Century Gothic"/>
          <w:bCs/>
          <w:iCs/>
          <w:kern w:val="36"/>
          <w:sz w:val="24"/>
          <w:szCs w:val="24"/>
          <w:lang w:eastAsia="it-IT"/>
        </w:rPr>
        <w:t>i</w:t>
      </w:r>
      <w:r w:rsidRPr="003744E5">
        <w:rPr>
          <w:rFonts w:ascii="Times New Roman" w:eastAsia="Times New Roman" w:hAnsi="Times New Roman" w:cs="Century Gothic"/>
          <w:bCs/>
          <w:iCs/>
          <w:kern w:val="36"/>
          <w:sz w:val="24"/>
          <w:szCs w:val="24"/>
          <w:lang w:eastAsia="it-IT"/>
        </w:rPr>
        <w:t xml:space="preserve"> livelli di valutazione, con le banche che hanno il maggior stock di crediti deteriorati</w:t>
      </w:r>
      <w:r>
        <w:rPr>
          <w:rFonts w:ascii="Times New Roman" w:eastAsia="Times New Roman" w:hAnsi="Times New Roman" w:cs="Century Gothic"/>
          <w:bCs/>
          <w:iCs/>
          <w:kern w:val="36"/>
          <w:sz w:val="24"/>
          <w:szCs w:val="24"/>
          <w:lang w:eastAsia="it-IT"/>
        </w:rPr>
        <w:t xml:space="preserve">, destinati  </w:t>
      </w:r>
      <w:r w:rsidRPr="003744E5">
        <w:rPr>
          <w:rFonts w:ascii="Times New Roman" w:eastAsia="Times New Roman" w:hAnsi="Times New Roman" w:cs="Century Gothic"/>
          <w:bCs/>
          <w:iCs/>
          <w:kern w:val="36"/>
          <w:sz w:val="24"/>
          <w:szCs w:val="24"/>
          <w:lang w:eastAsia="it-IT"/>
        </w:rPr>
        <w:t>ad aumentare significativamente nel 2013</w:t>
      </w:r>
      <w:r w:rsidR="00BC3EE5">
        <w:rPr>
          <w:rFonts w:ascii="Times New Roman" w:eastAsia="Times New Roman" w:hAnsi="Times New Roman" w:cs="Century Gothic"/>
          <w:bCs/>
          <w:iCs/>
          <w:kern w:val="36"/>
          <w:sz w:val="24"/>
          <w:szCs w:val="24"/>
          <w:lang w:eastAsia="it-IT"/>
        </w:rPr>
        <w:t>,</w:t>
      </w:r>
      <w:r w:rsidRPr="003744E5">
        <w:rPr>
          <w:rFonts w:ascii="Times New Roman" w:eastAsia="Times New Roman" w:hAnsi="Times New Roman" w:cs="Century Gothic"/>
          <w:bCs/>
          <w:iCs/>
          <w:kern w:val="36"/>
          <w:sz w:val="24"/>
          <w:szCs w:val="24"/>
          <w:lang w:eastAsia="it-IT"/>
        </w:rPr>
        <w:t xml:space="preserve">  con un tasso annuo di crescita composto (</w:t>
      </w:r>
      <w:proofErr w:type="spellStart"/>
      <w:r w:rsidRPr="003744E5">
        <w:rPr>
          <w:rFonts w:ascii="Times New Roman" w:eastAsia="Times New Roman" w:hAnsi="Times New Roman" w:cs="Century Gothic"/>
          <w:bCs/>
          <w:iCs/>
          <w:kern w:val="36"/>
          <w:sz w:val="24"/>
          <w:szCs w:val="24"/>
          <w:lang w:eastAsia="it-IT"/>
        </w:rPr>
        <w:t>Cagr</w:t>
      </w:r>
      <w:proofErr w:type="spellEnd"/>
      <w:r w:rsidRPr="003744E5">
        <w:rPr>
          <w:rFonts w:ascii="Times New Roman" w:eastAsia="Times New Roman" w:hAnsi="Times New Roman" w:cs="Century Gothic"/>
          <w:bCs/>
          <w:iCs/>
          <w:kern w:val="36"/>
          <w:sz w:val="24"/>
          <w:szCs w:val="24"/>
          <w:lang w:eastAsia="it-IT"/>
        </w:rPr>
        <w:t xml:space="preserve">) dell’11%. </w:t>
      </w:r>
      <w:r w:rsidR="005F5A1E">
        <w:rPr>
          <w:rFonts w:ascii="Times New Roman" w:eastAsia="Times New Roman" w:hAnsi="Times New Roman" w:cs="Century Gothic"/>
          <w:bCs/>
          <w:iCs/>
          <w:kern w:val="36"/>
          <w:sz w:val="24"/>
          <w:szCs w:val="24"/>
          <w:lang w:eastAsia="it-IT"/>
        </w:rPr>
        <w:t>T</w:t>
      </w:r>
      <w:r w:rsidRPr="003744E5">
        <w:rPr>
          <w:rFonts w:ascii="Times New Roman" w:eastAsia="Times New Roman" w:hAnsi="Times New Roman" w:cs="Century Gothic"/>
          <w:bCs/>
          <w:iCs/>
          <w:kern w:val="36"/>
          <w:sz w:val="24"/>
          <w:szCs w:val="24"/>
          <w:lang w:eastAsia="it-IT"/>
        </w:rPr>
        <w:t xml:space="preserve">ra il 2008 e il 2012 la quota di </w:t>
      </w:r>
      <w:proofErr w:type="spellStart"/>
      <w:r w:rsidRPr="003744E5">
        <w:rPr>
          <w:rFonts w:ascii="Times New Roman" w:eastAsia="Times New Roman" w:hAnsi="Times New Roman" w:cs="Century Gothic"/>
          <w:bCs/>
          <w:iCs/>
          <w:kern w:val="36"/>
          <w:sz w:val="24"/>
          <w:szCs w:val="24"/>
          <w:lang w:eastAsia="it-IT"/>
        </w:rPr>
        <w:t>Npl</w:t>
      </w:r>
      <w:proofErr w:type="spellEnd"/>
      <w:r w:rsidRPr="003744E5">
        <w:rPr>
          <w:rFonts w:ascii="Times New Roman" w:eastAsia="Times New Roman" w:hAnsi="Times New Roman" w:cs="Century Gothic"/>
          <w:bCs/>
          <w:iCs/>
          <w:kern w:val="36"/>
          <w:sz w:val="24"/>
          <w:szCs w:val="24"/>
          <w:lang w:eastAsia="it-IT"/>
        </w:rPr>
        <w:t xml:space="preserve"> lordi è aumentata con un </w:t>
      </w:r>
      <w:proofErr w:type="spellStart"/>
      <w:r w:rsidRPr="003744E5">
        <w:rPr>
          <w:rFonts w:ascii="Times New Roman" w:eastAsia="Times New Roman" w:hAnsi="Times New Roman" w:cs="Century Gothic"/>
          <w:bCs/>
          <w:iCs/>
          <w:kern w:val="36"/>
          <w:sz w:val="24"/>
          <w:szCs w:val="24"/>
          <w:lang w:eastAsia="it-IT"/>
        </w:rPr>
        <w:t>Cagr</w:t>
      </w:r>
      <w:proofErr w:type="spellEnd"/>
      <w:r w:rsidRPr="003744E5">
        <w:rPr>
          <w:rFonts w:ascii="Times New Roman" w:eastAsia="Times New Roman" w:hAnsi="Times New Roman" w:cs="Century Gothic"/>
          <w:bCs/>
          <w:iCs/>
          <w:kern w:val="36"/>
          <w:sz w:val="24"/>
          <w:szCs w:val="24"/>
          <w:lang w:eastAsia="it-IT"/>
        </w:rPr>
        <w:t xml:space="preserve"> del 31%,</w:t>
      </w:r>
      <w:r w:rsidR="00BC3EE5">
        <w:rPr>
          <w:rFonts w:ascii="Times New Roman" w:eastAsia="Times New Roman" w:hAnsi="Times New Roman" w:cs="Century Gothic"/>
          <w:bCs/>
          <w:iCs/>
          <w:kern w:val="36"/>
          <w:sz w:val="24"/>
          <w:szCs w:val="24"/>
          <w:lang w:eastAsia="it-IT"/>
        </w:rPr>
        <w:t xml:space="preserve"> che potrebbe </w:t>
      </w:r>
      <w:r w:rsidRPr="003744E5">
        <w:rPr>
          <w:rFonts w:ascii="Times New Roman" w:eastAsia="Times New Roman" w:hAnsi="Times New Roman" w:cs="Century Gothic"/>
          <w:bCs/>
          <w:iCs/>
          <w:kern w:val="36"/>
          <w:sz w:val="24"/>
          <w:szCs w:val="24"/>
          <w:lang w:eastAsia="it-IT"/>
        </w:rPr>
        <w:t xml:space="preserve"> raggiunge</w:t>
      </w:r>
      <w:r w:rsidR="00BC3EE5">
        <w:rPr>
          <w:rFonts w:ascii="Times New Roman" w:eastAsia="Times New Roman" w:hAnsi="Times New Roman" w:cs="Century Gothic"/>
          <w:bCs/>
          <w:iCs/>
          <w:kern w:val="36"/>
          <w:sz w:val="24"/>
          <w:szCs w:val="24"/>
          <w:lang w:eastAsia="it-IT"/>
        </w:rPr>
        <w:t>re</w:t>
      </w:r>
      <w:r w:rsidRPr="003744E5">
        <w:rPr>
          <w:rFonts w:ascii="Times New Roman" w:eastAsia="Times New Roman" w:hAnsi="Times New Roman" w:cs="Century Gothic"/>
          <w:bCs/>
          <w:iCs/>
          <w:kern w:val="36"/>
          <w:sz w:val="24"/>
          <w:szCs w:val="24"/>
          <w:lang w:eastAsia="it-IT"/>
        </w:rPr>
        <w:t xml:space="preserve"> a dicembre 2013 il valore record di 125 miliardi, mentre il rapporto tra </w:t>
      </w:r>
      <w:proofErr w:type="spellStart"/>
      <w:r w:rsidRPr="003744E5">
        <w:rPr>
          <w:rFonts w:ascii="Times New Roman" w:eastAsia="Times New Roman" w:hAnsi="Times New Roman" w:cs="Century Gothic"/>
          <w:bCs/>
          <w:iCs/>
          <w:kern w:val="36"/>
          <w:sz w:val="24"/>
          <w:szCs w:val="24"/>
          <w:lang w:eastAsia="it-IT"/>
        </w:rPr>
        <w:t>Npl</w:t>
      </w:r>
      <w:proofErr w:type="spellEnd"/>
      <w:r w:rsidRPr="003744E5">
        <w:rPr>
          <w:rFonts w:ascii="Times New Roman" w:eastAsia="Times New Roman" w:hAnsi="Times New Roman" w:cs="Century Gothic"/>
          <w:bCs/>
          <w:iCs/>
          <w:kern w:val="36"/>
          <w:sz w:val="24"/>
          <w:szCs w:val="24"/>
          <w:lang w:eastAsia="it-IT"/>
        </w:rPr>
        <w:t xml:space="preserve"> netto e crediti alla clientela è passato dall’1,3% al 3,9%.</w:t>
      </w:r>
    </w:p>
    <w:p w:rsidR="003744E5" w:rsidRPr="003744E5" w:rsidRDefault="00987FE0" w:rsidP="003744E5">
      <w:pPr>
        <w:spacing w:after="0" w:line="240" w:lineRule="auto"/>
        <w:jc w:val="left"/>
        <w:textAlignment w:val="baseline"/>
        <w:rPr>
          <w:rFonts w:ascii="Times New Roman" w:eastAsia="Times New Roman" w:hAnsi="Times New Roman" w:cs="Century Gothic"/>
          <w:bCs/>
          <w:iCs/>
          <w:kern w:val="36"/>
          <w:sz w:val="24"/>
          <w:szCs w:val="24"/>
          <w:lang w:eastAsia="it-IT"/>
        </w:rPr>
      </w:pPr>
      <w:r>
        <w:rPr>
          <w:rFonts w:ascii="Times New Roman" w:eastAsiaTheme="minorEastAsia" w:hAnsi="Times New Roman" w:cs="Century Gothic"/>
          <w:b/>
          <w:iCs/>
          <w:kern w:val="36"/>
          <w:sz w:val="24"/>
          <w:szCs w:val="24"/>
          <w:bdr w:val="none" w:sz="0" w:space="0" w:color="auto" w:frame="1"/>
          <w:lang w:eastAsia="it-IT"/>
        </w:rPr>
        <w:t xml:space="preserve">LE </w:t>
      </w:r>
      <w:r w:rsidR="003744E5" w:rsidRPr="003744E5">
        <w:rPr>
          <w:rFonts w:ascii="Times New Roman" w:eastAsiaTheme="minorEastAsia" w:hAnsi="Times New Roman" w:cs="Century Gothic"/>
          <w:b/>
          <w:iCs/>
          <w:kern w:val="36"/>
          <w:sz w:val="24"/>
          <w:szCs w:val="24"/>
          <w:bdr w:val="none" w:sz="0" w:space="0" w:color="auto" w:frame="1"/>
          <w:lang w:eastAsia="it-IT"/>
        </w:rPr>
        <w:t>BANCHE</w:t>
      </w:r>
      <w:r>
        <w:rPr>
          <w:rFonts w:ascii="Times New Roman" w:eastAsiaTheme="minorEastAsia" w:hAnsi="Times New Roman" w:cs="Century Gothic"/>
          <w:b/>
          <w:iCs/>
          <w:kern w:val="36"/>
          <w:sz w:val="24"/>
          <w:szCs w:val="24"/>
          <w:bdr w:val="none" w:sz="0" w:space="0" w:color="auto" w:frame="1"/>
          <w:lang w:eastAsia="it-IT"/>
        </w:rPr>
        <w:t xml:space="preserve"> PIU’ PRUDENTI E </w:t>
      </w:r>
      <w:r w:rsidR="007B6622">
        <w:rPr>
          <w:rFonts w:ascii="Times New Roman" w:eastAsiaTheme="minorEastAsia" w:hAnsi="Times New Roman" w:cs="Century Gothic"/>
          <w:b/>
          <w:iCs/>
          <w:kern w:val="36"/>
          <w:sz w:val="24"/>
          <w:szCs w:val="24"/>
          <w:bdr w:val="none" w:sz="0" w:space="0" w:color="auto" w:frame="1"/>
          <w:lang w:eastAsia="it-IT"/>
        </w:rPr>
        <w:t>L</w:t>
      </w:r>
      <w:r>
        <w:rPr>
          <w:rFonts w:ascii="Times New Roman" w:eastAsiaTheme="minorEastAsia" w:hAnsi="Times New Roman" w:cs="Century Gothic"/>
          <w:b/>
          <w:iCs/>
          <w:kern w:val="36"/>
          <w:sz w:val="24"/>
          <w:szCs w:val="24"/>
          <w:bdr w:val="none" w:sz="0" w:space="0" w:color="auto" w:frame="1"/>
          <w:lang w:eastAsia="it-IT"/>
        </w:rPr>
        <w:t xml:space="preserve">E PIU’  ALLEGRE NELL’EROGAZIONE </w:t>
      </w:r>
      <w:r w:rsidR="007B6622">
        <w:rPr>
          <w:rFonts w:ascii="Times New Roman" w:eastAsiaTheme="minorEastAsia" w:hAnsi="Times New Roman" w:cs="Century Gothic"/>
          <w:b/>
          <w:iCs/>
          <w:kern w:val="36"/>
          <w:sz w:val="24"/>
          <w:szCs w:val="24"/>
          <w:bdr w:val="none" w:sz="0" w:space="0" w:color="auto" w:frame="1"/>
          <w:lang w:eastAsia="it-IT"/>
        </w:rPr>
        <w:t xml:space="preserve">DEI </w:t>
      </w:r>
      <w:r>
        <w:rPr>
          <w:rFonts w:ascii="Times New Roman" w:eastAsiaTheme="minorEastAsia" w:hAnsi="Times New Roman" w:cs="Century Gothic"/>
          <w:b/>
          <w:iCs/>
          <w:kern w:val="36"/>
          <w:sz w:val="24"/>
          <w:szCs w:val="24"/>
          <w:bdr w:val="none" w:sz="0" w:space="0" w:color="auto" w:frame="1"/>
          <w:lang w:eastAsia="it-IT"/>
        </w:rPr>
        <w:t>FIDI</w:t>
      </w:r>
    </w:p>
    <w:p w:rsidR="003744E5" w:rsidRPr="003744E5" w:rsidRDefault="00987FE0" w:rsidP="003744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    </w:t>
      </w:r>
      <w:r w:rsidR="005F5A1E">
        <w:rPr>
          <w:rFonts w:ascii="Times New Roman" w:eastAsia="Times New Roman" w:hAnsi="Times New Roman" w:cs="Century Gothic"/>
          <w:bCs/>
          <w:iCs/>
          <w:kern w:val="36"/>
          <w:sz w:val="24"/>
          <w:szCs w:val="24"/>
          <w:lang w:eastAsia="it-IT"/>
        </w:rPr>
        <w:t xml:space="preserve">Nel rapporto tra crediti deteriorati sui </w:t>
      </w:r>
      <w:r w:rsidR="0050041C">
        <w:rPr>
          <w:rFonts w:ascii="Times New Roman" w:eastAsia="Times New Roman" w:hAnsi="Times New Roman" w:cs="Century Gothic"/>
          <w:bCs/>
          <w:iCs/>
          <w:kern w:val="36"/>
          <w:sz w:val="24"/>
          <w:szCs w:val="24"/>
          <w:lang w:eastAsia="it-IT"/>
        </w:rPr>
        <w:t xml:space="preserve">prestiti totali </w:t>
      </w:r>
      <w:r w:rsidR="005F5A1E">
        <w:rPr>
          <w:rFonts w:ascii="Times New Roman" w:eastAsia="Times New Roman" w:hAnsi="Times New Roman" w:cs="Century Gothic"/>
          <w:bCs/>
          <w:iCs/>
          <w:kern w:val="36"/>
          <w:sz w:val="24"/>
          <w:szCs w:val="24"/>
          <w:lang w:eastAsia="it-IT"/>
        </w:rPr>
        <w:t xml:space="preserve">alla clientela </w:t>
      </w:r>
      <w:r w:rsidR="0050041C">
        <w:rPr>
          <w:rFonts w:ascii="Times New Roman" w:eastAsia="Times New Roman" w:hAnsi="Times New Roman" w:cs="Century Gothic"/>
          <w:bCs/>
          <w:iCs/>
          <w:kern w:val="36"/>
          <w:sz w:val="24"/>
          <w:szCs w:val="24"/>
          <w:lang w:eastAsia="it-IT"/>
        </w:rPr>
        <w:t>(</w:t>
      </w:r>
      <w:proofErr w:type="spellStart"/>
      <w:r w:rsidR="0050041C">
        <w:rPr>
          <w:rFonts w:ascii="Times New Roman" w:eastAsia="Times New Roman" w:hAnsi="Times New Roman" w:cs="Century Gothic"/>
          <w:bCs/>
          <w:iCs/>
          <w:kern w:val="36"/>
          <w:sz w:val="24"/>
          <w:szCs w:val="24"/>
          <w:lang w:eastAsia="it-IT"/>
        </w:rPr>
        <w:t>Npl</w:t>
      </w:r>
      <w:proofErr w:type="spellEnd"/>
      <w:r w:rsidR="0050041C">
        <w:rPr>
          <w:rFonts w:ascii="Times New Roman" w:eastAsia="Times New Roman" w:hAnsi="Times New Roman" w:cs="Century Gothic"/>
          <w:bCs/>
          <w:iCs/>
          <w:kern w:val="36"/>
          <w:sz w:val="24"/>
          <w:szCs w:val="24"/>
          <w:lang w:eastAsia="it-IT"/>
        </w:rPr>
        <w:t xml:space="preserve"> netti) </w:t>
      </w:r>
      <w:r w:rsidR="005F5A1E">
        <w:rPr>
          <w:rFonts w:ascii="Times New Roman" w:eastAsia="Times New Roman" w:hAnsi="Times New Roman" w:cs="Century Gothic"/>
          <w:bCs/>
          <w:iCs/>
          <w:kern w:val="36"/>
          <w:sz w:val="24"/>
          <w:szCs w:val="24"/>
          <w:lang w:eastAsia="it-IT"/>
        </w:rPr>
        <w:t xml:space="preserve">che misura la capacità dei banchieri di valutare la </w:t>
      </w:r>
      <w:proofErr w:type="spellStart"/>
      <w:r w:rsidR="005F5A1E">
        <w:rPr>
          <w:rFonts w:ascii="Times New Roman" w:eastAsia="Times New Roman" w:hAnsi="Times New Roman" w:cs="Century Gothic"/>
          <w:bCs/>
          <w:iCs/>
          <w:kern w:val="36"/>
          <w:sz w:val="24"/>
          <w:szCs w:val="24"/>
          <w:lang w:eastAsia="it-IT"/>
        </w:rPr>
        <w:t>meritorietà</w:t>
      </w:r>
      <w:proofErr w:type="spellEnd"/>
      <w:r w:rsidR="005F5A1E">
        <w:rPr>
          <w:rFonts w:ascii="Times New Roman" w:eastAsia="Times New Roman" w:hAnsi="Times New Roman" w:cs="Century Gothic"/>
          <w:bCs/>
          <w:iCs/>
          <w:kern w:val="36"/>
          <w:sz w:val="24"/>
          <w:szCs w:val="24"/>
          <w:lang w:eastAsia="it-IT"/>
        </w:rPr>
        <w:t xml:space="preserve"> del credito, la più virtuosa è Mediobanca con lo 0,6%; la più allegra è Unipol con il 6,3%, seguita da MPS (5%); </w:t>
      </w:r>
      <w:proofErr w:type="spellStart"/>
      <w:r w:rsidR="005F5A1E">
        <w:rPr>
          <w:rFonts w:ascii="Times New Roman" w:eastAsia="Times New Roman" w:hAnsi="Times New Roman" w:cs="Century Gothic"/>
          <w:bCs/>
          <w:iCs/>
          <w:kern w:val="36"/>
          <w:sz w:val="24"/>
          <w:szCs w:val="24"/>
          <w:lang w:eastAsia="it-IT"/>
        </w:rPr>
        <w:t>Bnl</w:t>
      </w:r>
      <w:proofErr w:type="spellEnd"/>
      <w:r w:rsidR="005F5A1E">
        <w:rPr>
          <w:rFonts w:ascii="Times New Roman" w:eastAsia="Times New Roman" w:hAnsi="Times New Roman" w:cs="Century Gothic"/>
          <w:bCs/>
          <w:iCs/>
          <w:kern w:val="36"/>
          <w:sz w:val="24"/>
          <w:szCs w:val="24"/>
          <w:lang w:eastAsia="it-IT"/>
        </w:rPr>
        <w:t xml:space="preserve"> (4,5%); Unicredit (3,5% uguale alla media); Intesa San Paolo</w:t>
      </w:r>
      <w:r w:rsidR="0050041C">
        <w:rPr>
          <w:rFonts w:ascii="Times New Roman" w:eastAsia="Times New Roman" w:hAnsi="Times New Roman" w:cs="Century Gothic"/>
          <w:bCs/>
          <w:iCs/>
          <w:kern w:val="36"/>
          <w:sz w:val="24"/>
          <w:szCs w:val="24"/>
          <w:lang w:eastAsia="it-IT"/>
        </w:rPr>
        <w:t xml:space="preserve"> al</w:t>
      </w:r>
      <w:r w:rsidR="005F5A1E">
        <w:rPr>
          <w:rFonts w:ascii="Times New Roman" w:eastAsia="Times New Roman" w:hAnsi="Times New Roman" w:cs="Century Gothic"/>
          <w:bCs/>
          <w:iCs/>
          <w:kern w:val="36"/>
          <w:sz w:val="24"/>
          <w:szCs w:val="24"/>
          <w:lang w:eastAsia="it-IT"/>
        </w:rPr>
        <w:t xml:space="preserve"> 3%</w:t>
      </w:r>
      <w:r w:rsidR="0050041C">
        <w:rPr>
          <w:rFonts w:ascii="Times New Roman" w:eastAsia="Times New Roman" w:hAnsi="Times New Roman" w:cs="Century Gothic"/>
          <w:bCs/>
          <w:iCs/>
          <w:kern w:val="36"/>
          <w:sz w:val="24"/>
          <w:szCs w:val="24"/>
          <w:lang w:eastAsia="it-IT"/>
        </w:rPr>
        <w:t xml:space="preserve">. </w:t>
      </w:r>
    </w:p>
    <w:p w:rsidR="003744E5" w:rsidRPr="003744E5" w:rsidRDefault="0050041C" w:rsidP="003744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   </w:t>
      </w:r>
      <w:r w:rsidR="00FE4669">
        <w:rPr>
          <w:rFonts w:ascii="Times New Roman" w:eastAsia="Times New Roman" w:hAnsi="Times New Roman" w:cs="Century Gothic"/>
          <w:bCs/>
          <w:iCs/>
          <w:kern w:val="36"/>
          <w:sz w:val="24"/>
          <w:szCs w:val="24"/>
          <w:lang w:eastAsia="it-IT"/>
        </w:rPr>
        <w:t>In merito al</w:t>
      </w:r>
      <w:r w:rsidR="003744E5" w:rsidRPr="003744E5">
        <w:rPr>
          <w:rFonts w:ascii="Times New Roman" w:eastAsia="Times New Roman" w:hAnsi="Times New Roman" w:cs="Century Gothic"/>
          <w:bCs/>
          <w:iCs/>
          <w:kern w:val="36"/>
          <w:sz w:val="24"/>
          <w:szCs w:val="24"/>
          <w:lang w:eastAsia="it-IT"/>
        </w:rPr>
        <w:t xml:space="preserve"> rapporto tra le riserve e il totale degli </w:t>
      </w:r>
      <w:proofErr w:type="spellStart"/>
      <w:r w:rsidR="003744E5" w:rsidRPr="003744E5">
        <w:rPr>
          <w:rFonts w:ascii="Times New Roman" w:eastAsia="Times New Roman" w:hAnsi="Times New Roman" w:cs="Century Gothic"/>
          <w:bCs/>
          <w:iCs/>
          <w:kern w:val="36"/>
          <w:sz w:val="24"/>
          <w:szCs w:val="24"/>
          <w:lang w:eastAsia="it-IT"/>
        </w:rPr>
        <w:t>Npl</w:t>
      </w:r>
      <w:proofErr w:type="spellEnd"/>
      <w:r w:rsidR="003744E5" w:rsidRPr="003744E5">
        <w:rPr>
          <w:rFonts w:ascii="Times New Roman" w:eastAsia="Times New Roman" w:hAnsi="Times New Roman" w:cs="Century Gothic"/>
          <w:bCs/>
          <w:iCs/>
          <w:kern w:val="36"/>
          <w:sz w:val="24"/>
          <w:szCs w:val="24"/>
          <w:lang w:eastAsia="it-IT"/>
        </w:rPr>
        <w:t xml:space="preserve"> lordi</w:t>
      </w:r>
      <w:r>
        <w:rPr>
          <w:rFonts w:ascii="Times New Roman" w:eastAsia="Times New Roman" w:hAnsi="Times New Roman" w:cs="Century Gothic"/>
          <w:bCs/>
          <w:iCs/>
          <w:kern w:val="36"/>
          <w:sz w:val="24"/>
          <w:szCs w:val="24"/>
          <w:lang w:eastAsia="it-IT"/>
        </w:rPr>
        <w:t xml:space="preserve">, </w:t>
      </w:r>
      <w:proofErr w:type="spellStart"/>
      <w:r w:rsidRPr="00987FE0">
        <w:rPr>
          <w:rFonts w:ascii="Times New Roman" w:eastAsia="Times New Roman" w:hAnsi="Times New Roman" w:cs="Century Gothic"/>
          <w:bCs/>
          <w:i/>
          <w:iCs/>
          <w:kern w:val="36"/>
          <w:sz w:val="24"/>
          <w:szCs w:val="24"/>
          <w:lang w:eastAsia="it-IT"/>
        </w:rPr>
        <w:t>coverage</w:t>
      </w:r>
      <w:proofErr w:type="spellEnd"/>
      <w:r w:rsidRPr="00987FE0">
        <w:rPr>
          <w:rFonts w:ascii="Times New Roman" w:eastAsia="Times New Roman" w:hAnsi="Times New Roman" w:cs="Century Gothic"/>
          <w:bCs/>
          <w:i/>
          <w:iCs/>
          <w:kern w:val="36"/>
          <w:sz w:val="24"/>
          <w:szCs w:val="24"/>
          <w:lang w:eastAsia="it-IT"/>
        </w:rPr>
        <w:t xml:space="preserve"> ratio</w:t>
      </w:r>
      <w:r w:rsidR="003744E5" w:rsidRPr="003744E5">
        <w:rPr>
          <w:rFonts w:ascii="Times New Roman" w:eastAsia="Times New Roman" w:hAnsi="Times New Roman" w:cs="Century Gothic"/>
          <w:bCs/>
          <w:iCs/>
          <w:kern w:val="36"/>
          <w:sz w:val="24"/>
          <w:szCs w:val="24"/>
          <w:lang w:eastAsia="it-IT"/>
        </w:rPr>
        <w:t xml:space="preserve">, </w:t>
      </w:r>
      <w:r w:rsidR="00FE4669">
        <w:rPr>
          <w:rFonts w:ascii="Times New Roman" w:eastAsia="Times New Roman" w:hAnsi="Times New Roman" w:cs="Century Gothic"/>
          <w:bCs/>
          <w:iCs/>
          <w:kern w:val="36"/>
          <w:sz w:val="24"/>
          <w:szCs w:val="24"/>
          <w:lang w:eastAsia="it-IT"/>
        </w:rPr>
        <w:t>si registra una media</w:t>
      </w:r>
      <w:r w:rsidR="003744E5" w:rsidRPr="003744E5">
        <w:rPr>
          <w:rFonts w:ascii="Times New Roman" w:eastAsia="Times New Roman" w:hAnsi="Times New Roman" w:cs="Century Gothic"/>
          <w:bCs/>
          <w:iCs/>
          <w:kern w:val="36"/>
          <w:sz w:val="24"/>
          <w:szCs w:val="24"/>
          <w:lang w:eastAsia="it-IT"/>
        </w:rPr>
        <w:t xml:space="preserve"> del 55,3%, </w:t>
      </w:r>
      <w:r w:rsidR="00FE4669">
        <w:rPr>
          <w:rFonts w:ascii="Times New Roman" w:eastAsia="Times New Roman" w:hAnsi="Times New Roman" w:cs="Century Gothic"/>
          <w:bCs/>
          <w:iCs/>
          <w:kern w:val="36"/>
          <w:sz w:val="24"/>
          <w:szCs w:val="24"/>
          <w:lang w:eastAsia="it-IT"/>
        </w:rPr>
        <w:t>i cui</w:t>
      </w:r>
      <w:r w:rsidR="003744E5" w:rsidRPr="003744E5">
        <w:rPr>
          <w:rFonts w:ascii="Times New Roman" w:eastAsia="Times New Roman" w:hAnsi="Times New Roman" w:cs="Century Gothic"/>
          <w:bCs/>
          <w:iCs/>
          <w:kern w:val="36"/>
          <w:sz w:val="24"/>
          <w:szCs w:val="24"/>
          <w:lang w:eastAsia="it-IT"/>
        </w:rPr>
        <w:t xml:space="preserve"> valori </w:t>
      </w:r>
      <w:r w:rsidR="00FE4669">
        <w:rPr>
          <w:rFonts w:ascii="Times New Roman" w:eastAsia="Times New Roman" w:hAnsi="Times New Roman" w:cs="Century Gothic"/>
          <w:bCs/>
          <w:iCs/>
          <w:kern w:val="36"/>
          <w:sz w:val="24"/>
          <w:szCs w:val="24"/>
          <w:lang w:eastAsia="it-IT"/>
        </w:rPr>
        <w:t xml:space="preserve">variano </w:t>
      </w:r>
      <w:r w:rsidR="003744E5" w:rsidRPr="003744E5">
        <w:rPr>
          <w:rFonts w:ascii="Times New Roman" w:eastAsia="Times New Roman" w:hAnsi="Times New Roman" w:cs="Century Gothic"/>
          <w:bCs/>
          <w:iCs/>
          <w:kern w:val="36"/>
          <w:sz w:val="24"/>
          <w:szCs w:val="24"/>
          <w:lang w:eastAsia="it-IT"/>
        </w:rPr>
        <w:t>dal 32,3% di </w:t>
      </w:r>
      <w:r w:rsidR="003744E5" w:rsidRPr="00987FE0">
        <w:rPr>
          <w:rFonts w:ascii="Times New Roman" w:eastAsia="Times New Roman" w:hAnsi="Times New Roman" w:cs="Century Gothic"/>
          <w:bCs/>
          <w:iCs/>
          <w:kern w:val="36"/>
          <w:sz w:val="24"/>
          <w:szCs w:val="24"/>
          <w:lang w:eastAsia="it-IT"/>
        </w:rPr>
        <w:t>Banca Marche</w:t>
      </w:r>
      <w:r w:rsidR="003744E5" w:rsidRPr="003744E5">
        <w:rPr>
          <w:rFonts w:ascii="Times New Roman" w:eastAsia="Times New Roman" w:hAnsi="Times New Roman" w:cs="Century Gothic"/>
          <w:bCs/>
          <w:iCs/>
          <w:kern w:val="36"/>
          <w:sz w:val="24"/>
          <w:szCs w:val="24"/>
          <w:lang w:eastAsia="it-IT"/>
        </w:rPr>
        <w:t> al 70% di </w:t>
      </w:r>
      <w:proofErr w:type="spellStart"/>
      <w:r w:rsidR="003744E5" w:rsidRPr="00987FE0">
        <w:rPr>
          <w:rFonts w:ascii="Times New Roman" w:eastAsia="Times New Roman" w:hAnsi="Times New Roman" w:cs="Century Gothic"/>
          <w:bCs/>
          <w:iCs/>
          <w:kern w:val="36"/>
          <w:sz w:val="24"/>
          <w:szCs w:val="24"/>
          <w:lang w:eastAsia="it-IT"/>
        </w:rPr>
        <w:t>Deutsche</w:t>
      </w:r>
      <w:proofErr w:type="spellEnd"/>
      <w:r w:rsidR="003744E5" w:rsidRPr="00987FE0">
        <w:rPr>
          <w:rFonts w:ascii="Times New Roman" w:eastAsia="Times New Roman" w:hAnsi="Times New Roman" w:cs="Century Gothic"/>
          <w:bCs/>
          <w:iCs/>
          <w:kern w:val="36"/>
          <w:sz w:val="24"/>
          <w:szCs w:val="24"/>
          <w:lang w:eastAsia="it-IT"/>
        </w:rPr>
        <w:t xml:space="preserve"> </w:t>
      </w:r>
      <w:proofErr w:type="spellStart"/>
      <w:r w:rsidR="003744E5" w:rsidRPr="00987FE0">
        <w:rPr>
          <w:rFonts w:ascii="Times New Roman" w:eastAsia="Times New Roman" w:hAnsi="Times New Roman" w:cs="Century Gothic"/>
          <w:bCs/>
          <w:iCs/>
          <w:kern w:val="36"/>
          <w:sz w:val="24"/>
          <w:szCs w:val="24"/>
          <w:lang w:eastAsia="it-IT"/>
        </w:rPr>
        <w:t>Bank</w:t>
      </w:r>
      <w:proofErr w:type="spellEnd"/>
      <w:r w:rsidR="00FE4669" w:rsidRPr="00987FE0">
        <w:rPr>
          <w:rFonts w:ascii="Times New Roman" w:eastAsia="Times New Roman" w:hAnsi="Times New Roman" w:cs="Century Gothic"/>
          <w:bCs/>
          <w:iCs/>
          <w:kern w:val="36"/>
          <w:sz w:val="24"/>
          <w:szCs w:val="24"/>
          <w:lang w:eastAsia="it-IT"/>
        </w:rPr>
        <w:t xml:space="preserve">, </w:t>
      </w:r>
      <w:r w:rsidR="003744E5" w:rsidRPr="003744E5">
        <w:rPr>
          <w:rFonts w:ascii="Times New Roman" w:eastAsia="Times New Roman" w:hAnsi="Times New Roman" w:cs="Century Gothic"/>
          <w:bCs/>
          <w:iCs/>
          <w:kern w:val="36"/>
          <w:sz w:val="24"/>
          <w:szCs w:val="24"/>
          <w:lang w:eastAsia="it-IT"/>
        </w:rPr>
        <w:t>Intesa</w:t>
      </w:r>
      <w:r w:rsidR="00FE4669">
        <w:rPr>
          <w:rFonts w:ascii="Times New Roman" w:eastAsia="Times New Roman" w:hAnsi="Times New Roman" w:cs="Century Gothic"/>
          <w:bCs/>
          <w:iCs/>
          <w:kern w:val="36"/>
          <w:sz w:val="24"/>
          <w:szCs w:val="24"/>
          <w:lang w:eastAsia="it-IT"/>
        </w:rPr>
        <w:t xml:space="preserve"> e </w:t>
      </w:r>
      <w:proofErr w:type="spellStart"/>
      <w:r w:rsidR="00FE4669">
        <w:rPr>
          <w:rFonts w:ascii="Times New Roman" w:eastAsia="Times New Roman" w:hAnsi="Times New Roman" w:cs="Century Gothic"/>
          <w:bCs/>
          <w:iCs/>
          <w:kern w:val="36"/>
          <w:sz w:val="24"/>
          <w:szCs w:val="24"/>
          <w:lang w:eastAsia="it-IT"/>
        </w:rPr>
        <w:t>Bnl</w:t>
      </w:r>
      <w:proofErr w:type="spellEnd"/>
      <w:r w:rsidR="00FE4669">
        <w:rPr>
          <w:rFonts w:ascii="Times New Roman" w:eastAsia="Times New Roman" w:hAnsi="Times New Roman" w:cs="Century Gothic"/>
          <w:bCs/>
          <w:iCs/>
          <w:kern w:val="36"/>
          <w:sz w:val="24"/>
          <w:szCs w:val="24"/>
          <w:lang w:eastAsia="it-IT"/>
        </w:rPr>
        <w:t xml:space="preserve"> </w:t>
      </w:r>
      <w:r w:rsidR="003744E5" w:rsidRPr="003744E5">
        <w:rPr>
          <w:rFonts w:ascii="Times New Roman" w:eastAsia="Times New Roman" w:hAnsi="Times New Roman" w:cs="Century Gothic"/>
          <w:bCs/>
          <w:iCs/>
          <w:kern w:val="36"/>
          <w:sz w:val="24"/>
          <w:szCs w:val="24"/>
          <w:lang w:eastAsia="it-IT"/>
        </w:rPr>
        <w:t>con il 60%,Mps</w:t>
      </w:r>
      <w:r w:rsidR="00FE4669">
        <w:rPr>
          <w:rFonts w:ascii="Times New Roman" w:eastAsia="Times New Roman" w:hAnsi="Times New Roman" w:cs="Century Gothic"/>
          <w:bCs/>
          <w:iCs/>
          <w:kern w:val="36"/>
          <w:sz w:val="24"/>
          <w:szCs w:val="24"/>
          <w:lang w:eastAsia="it-IT"/>
        </w:rPr>
        <w:t xml:space="preserve"> ed Unicredit a</w:t>
      </w:r>
      <w:r w:rsidR="003744E5" w:rsidRPr="003744E5">
        <w:rPr>
          <w:rFonts w:ascii="Times New Roman" w:eastAsia="Times New Roman" w:hAnsi="Times New Roman" w:cs="Century Gothic"/>
          <w:bCs/>
          <w:iCs/>
          <w:kern w:val="36"/>
          <w:sz w:val="24"/>
          <w:szCs w:val="24"/>
          <w:lang w:eastAsia="it-IT"/>
        </w:rPr>
        <w:t>l 55%</w:t>
      </w:r>
      <w:r w:rsidR="00FE4669">
        <w:rPr>
          <w:rFonts w:ascii="Times New Roman" w:eastAsia="Times New Roman" w:hAnsi="Times New Roman" w:cs="Century Gothic"/>
          <w:bCs/>
          <w:iCs/>
          <w:kern w:val="36"/>
          <w:sz w:val="24"/>
          <w:szCs w:val="24"/>
          <w:lang w:eastAsia="it-IT"/>
        </w:rPr>
        <w:t xml:space="preserve">; </w:t>
      </w:r>
      <w:proofErr w:type="spellStart"/>
      <w:r w:rsidR="003744E5" w:rsidRPr="003744E5">
        <w:rPr>
          <w:rFonts w:ascii="Times New Roman" w:eastAsia="Times New Roman" w:hAnsi="Times New Roman" w:cs="Century Gothic"/>
          <w:bCs/>
          <w:iCs/>
          <w:kern w:val="36"/>
          <w:sz w:val="24"/>
          <w:szCs w:val="24"/>
          <w:lang w:eastAsia="it-IT"/>
        </w:rPr>
        <w:t>Ubi</w:t>
      </w:r>
      <w:proofErr w:type="spellEnd"/>
      <w:r w:rsidR="003744E5" w:rsidRPr="003744E5">
        <w:rPr>
          <w:rFonts w:ascii="Times New Roman" w:eastAsia="Times New Roman" w:hAnsi="Times New Roman" w:cs="Century Gothic"/>
          <w:bCs/>
          <w:iCs/>
          <w:kern w:val="36"/>
          <w:sz w:val="24"/>
          <w:szCs w:val="24"/>
          <w:lang w:eastAsia="it-IT"/>
        </w:rPr>
        <w:t xml:space="preserve"> </w:t>
      </w:r>
      <w:r w:rsidR="00987FE0">
        <w:rPr>
          <w:rFonts w:ascii="Times New Roman" w:eastAsia="Times New Roman" w:hAnsi="Times New Roman" w:cs="Century Gothic"/>
          <w:bCs/>
          <w:iCs/>
          <w:kern w:val="36"/>
          <w:sz w:val="24"/>
          <w:szCs w:val="24"/>
          <w:lang w:eastAsia="it-IT"/>
        </w:rPr>
        <w:t>B</w:t>
      </w:r>
      <w:r w:rsidR="00FE4669">
        <w:rPr>
          <w:rFonts w:ascii="Times New Roman" w:eastAsia="Times New Roman" w:hAnsi="Times New Roman" w:cs="Century Gothic"/>
          <w:bCs/>
          <w:iCs/>
          <w:kern w:val="36"/>
          <w:sz w:val="24"/>
          <w:szCs w:val="24"/>
          <w:lang w:eastAsia="it-IT"/>
        </w:rPr>
        <w:t xml:space="preserve">anca </w:t>
      </w:r>
      <w:r w:rsidR="003744E5" w:rsidRPr="003744E5">
        <w:rPr>
          <w:rFonts w:ascii="Times New Roman" w:eastAsia="Times New Roman" w:hAnsi="Times New Roman" w:cs="Century Gothic"/>
          <w:bCs/>
          <w:iCs/>
          <w:kern w:val="36"/>
          <w:sz w:val="24"/>
          <w:szCs w:val="24"/>
          <w:lang w:eastAsia="it-IT"/>
        </w:rPr>
        <w:t xml:space="preserve">ha un </w:t>
      </w:r>
      <w:proofErr w:type="spellStart"/>
      <w:r w:rsidR="003744E5" w:rsidRPr="003744E5">
        <w:rPr>
          <w:rFonts w:ascii="Times New Roman" w:eastAsia="Times New Roman" w:hAnsi="Times New Roman" w:cs="Century Gothic"/>
          <w:bCs/>
          <w:iCs/>
          <w:kern w:val="36"/>
          <w:sz w:val="24"/>
          <w:szCs w:val="24"/>
          <w:lang w:eastAsia="it-IT"/>
        </w:rPr>
        <w:t>coverage</w:t>
      </w:r>
      <w:proofErr w:type="spellEnd"/>
      <w:r w:rsidR="003744E5" w:rsidRPr="003744E5">
        <w:rPr>
          <w:rFonts w:ascii="Times New Roman" w:eastAsia="Times New Roman" w:hAnsi="Times New Roman" w:cs="Century Gothic"/>
          <w:bCs/>
          <w:iCs/>
          <w:kern w:val="36"/>
          <w:sz w:val="24"/>
          <w:szCs w:val="24"/>
          <w:lang w:eastAsia="it-IT"/>
        </w:rPr>
        <w:t xml:space="preserve"> </w:t>
      </w:r>
      <w:r w:rsidR="00FE4669">
        <w:rPr>
          <w:rFonts w:ascii="Times New Roman" w:eastAsia="Times New Roman" w:hAnsi="Times New Roman" w:cs="Century Gothic"/>
          <w:bCs/>
          <w:iCs/>
          <w:kern w:val="36"/>
          <w:sz w:val="24"/>
          <w:szCs w:val="24"/>
          <w:lang w:eastAsia="it-IT"/>
        </w:rPr>
        <w:t>del</w:t>
      </w:r>
      <w:r w:rsidR="003744E5" w:rsidRPr="003744E5">
        <w:rPr>
          <w:rFonts w:ascii="Times New Roman" w:eastAsia="Times New Roman" w:hAnsi="Times New Roman" w:cs="Century Gothic"/>
          <w:bCs/>
          <w:iCs/>
          <w:kern w:val="36"/>
          <w:sz w:val="24"/>
          <w:szCs w:val="24"/>
          <w:lang w:eastAsia="it-IT"/>
        </w:rPr>
        <w:t xml:space="preserve"> 45%</w:t>
      </w:r>
      <w:r w:rsidR="00FE4669">
        <w:rPr>
          <w:rFonts w:ascii="Times New Roman" w:eastAsia="Times New Roman" w:hAnsi="Times New Roman" w:cs="Century Gothic"/>
          <w:bCs/>
          <w:iCs/>
          <w:kern w:val="36"/>
          <w:sz w:val="24"/>
          <w:szCs w:val="24"/>
          <w:lang w:eastAsia="it-IT"/>
        </w:rPr>
        <w:t xml:space="preserve">; </w:t>
      </w:r>
      <w:r w:rsidR="003744E5" w:rsidRPr="003744E5">
        <w:rPr>
          <w:rFonts w:ascii="Times New Roman" w:eastAsia="Times New Roman" w:hAnsi="Times New Roman" w:cs="Century Gothic"/>
          <w:bCs/>
          <w:iCs/>
          <w:kern w:val="36"/>
          <w:sz w:val="24"/>
          <w:szCs w:val="24"/>
          <w:lang w:eastAsia="it-IT"/>
        </w:rPr>
        <w:t>Banco Popolare</w:t>
      </w:r>
      <w:r w:rsidR="00FE4669">
        <w:rPr>
          <w:rFonts w:ascii="Times New Roman" w:eastAsia="Times New Roman" w:hAnsi="Times New Roman" w:cs="Century Gothic"/>
          <w:bCs/>
          <w:iCs/>
          <w:kern w:val="36"/>
          <w:sz w:val="24"/>
          <w:szCs w:val="24"/>
          <w:lang w:eastAsia="it-IT"/>
        </w:rPr>
        <w:t xml:space="preserve"> del</w:t>
      </w:r>
      <w:r w:rsidR="003744E5" w:rsidRPr="003744E5">
        <w:rPr>
          <w:rFonts w:ascii="Times New Roman" w:eastAsia="Times New Roman" w:hAnsi="Times New Roman" w:cs="Century Gothic"/>
          <w:bCs/>
          <w:iCs/>
          <w:kern w:val="36"/>
          <w:sz w:val="24"/>
          <w:szCs w:val="24"/>
          <w:lang w:eastAsia="it-IT"/>
        </w:rPr>
        <w:t xml:space="preserve"> 40%.</w:t>
      </w:r>
    </w:p>
    <w:p w:rsidR="003744E5" w:rsidRDefault="00987FE0" w:rsidP="003744E5">
      <w:pPr>
        <w:spacing w:after="0" w:line="240" w:lineRule="auto"/>
        <w:jc w:val="left"/>
        <w:textAlignment w:val="baseline"/>
        <w:rPr>
          <w:rFonts w:ascii="Times New Roman" w:eastAsia="Times New Roman" w:hAnsi="Times New Roman" w:cs="Century Gothic"/>
          <w:b/>
          <w:iCs/>
          <w:kern w:val="36"/>
          <w:sz w:val="24"/>
          <w:szCs w:val="24"/>
          <w:bdr w:val="none" w:sz="0" w:space="0" w:color="auto" w:frame="1"/>
          <w:lang w:eastAsia="it-IT"/>
        </w:rPr>
      </w:pPr>
      <w:r>
        <w:rPr>
          <w:rFonts w:ascii="Times New Roman" w:eastAsia="Times New Roman" w:hAnsi="Times New Roman" w:cs="Century Gothic"/>
          <w:b/>
          <w:iCs/>
          <w:kern w:val="36"/>
          <w:sz w:val="24"/>
          <w:szCs w:val="24"/>
          <w:bdr w:val="none" w:sz="0" w:space="0" w:color="auto" w:frame="1"/>
          <w:lang w:eastAsia="it-IT"/>
        </w:rPr>
        <w:t>BANCO POPOLARE,BPM E CARIGE SI  SONO MANGIATE  L’INTERO PATRIMONIO</w:t>
      </w:r>
    </w:p>
    <w:p w:rsidR="003744E5" w:rsidRDefault="00FE4669" w:rsidP="00BC3E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Altro dato che dimostra la pessima gestione creditizia </w:t>
      </w:r>
      <w:r w:rsidR="00987FE0">
        <w:rPr>
          <w:rFonts w:ascii="Times New Roman" w:eastAsia="Times New Roman" w:hAnsi="Times New Roman" w:cs="Century Gothic"/>
          <w:bCs/>
          <w:iCs/>
          <w:kern w:val="36"/>
          <w:sz w:val="24"/>
          <w:szCs w:val="24"/>
          <w:lang w:eastAsia="it-IT"/>
        </w:rPr>
        <w:t xml:space="preserve">dei signori banchieri </w:t>
      </w:r>
      <w:r>
        <w:rPr>
          <w:rFonts w:ascii="Times New Roman" w:eastAsia="Times New Roman" w:hAnsi="Times New Roman" w:cs="Century Gothic"/>
          <w:bCs/>
          <w:iCs/>
          <w:kern w:val="36"/>
          <w:sz w:val="24"/>
          <w:szCs w:val="24"/>
          <w:lang w:eastAsia="it-IT"/>
        </w:rPr>
        <w:t>è</w:t>
      </w:r>
      <w:r w:rsidR="003744E5" w:rsidRPr="003744E5">
        <w:rPr>
          <w:rFonts w:ascii="Times New Roman" w:eastAsia="Times New Roman" w:hAnsi="Times New Roman" w:cs="Century Gothic"/>
          <w:bCs/>
          <w:iCs/>
          <w:kern w:val="36"/>
          <w:sz w:val="24"/>
          <w:szCs w:val="24"/>
          <w:lang w:eastAsia="it-IT"/>
        </w:rPr>
        <w:t xml:space="preserve"> il rapporto tra crediti </w:t>
      </w:r>
      <w:proofErr w:type="spellStart"/>
      <w:r w:rsidR="003744E5" w:rsidRPr="003744E5">
        <w:rPr>
          <w:rFonts w:ascii="Times New Roman" w:eastAsia="Times New Roman" w:hAnsi="Times New Roman" w:cs="Century Gothic"/>
          <w:bCs/>
          <w:iCs/>
          <w:kern w:val="36"/>
          <w:sz w:val="24"/>
          <w:szCs w:val="24"/>
          <w:lang w:eastAsia="it-IT"/>
        </w:rPr>
        <w:t>Npl</w:t>
      </w:r>
      <w:proofErr w:type="spellEnd"/>
      <w:r w:rsidR="003744E5" w:rsidRPr="003744E5">
        <w:rPr>
          <w:rFonts w:ascii="Times New Roman" w:eastAsia="Times New Roman" w:hAnsi="Times New Roman" w:cs="Century Gothic"/>
          <w:bCs/>
          <w:iCs/>
          <w:kern w:val="36"/>
          <w:sz w:val="24"/>
          <w:szCs w:val="24"/>
          <w:lang w:eastAsia="it-IT"/>
        </w:rPr>
        <w:t xml:space="preserve"> e Core </w:t>
      </w:r>
      <w:proofErr w:type="spellStart"/>
      <w:r w:rsidR="003744E5" w:rsidRPr="003744E5">
        <w:rPr>
          <w:rFonts w:ascii="Times New Roman" w:eastAsia="Times New Roman" w:hAnsi="Times New Roman" w:cs="Century Gothic"/>
          <w:bCs/>
          <w:iCs/>
          <w:kern w:val="36"/>
          <w:sz w:val="24"/>
          <w:szCs w:val="24"/>
          <w:lang w:eastAsia="it-IT"/>
        </w:rPr>
        <w:t>Tier</w:t>
      </w:r>
      <w:proofErr w:type="spellEnd"/>
      <w:r w:rsidR="003744E5" w:rsidRPr="003744E5">
        <w:rPr>
          <w:rFonts w:ascii="Times New Roman" w:eastAsia="Times New Roman" w:hAnsi="Times New Roman" w:cs="Century Gothic"/>
          <w:bCs/>
          <w:iCs/>
          <w:kern w:val="36"/>
          <w:sz w:val="24"/>
          <w:szCs w:val="24"/>
          <w:lang w:eastAsia="it-IT"/>
        </w:rPr>
        <w:t xml:space="preserve"> 1, principale indicatore patrimoniale de</w:t>
      </w:r>
      <w:r>
        <w:rPr>
          <w:rFonts w:ascii="Times New Roman" w:eastAsia="Times New Roman" w:hAnsi="Times New Roman" w:cs="Century Gothic"/>
          <w:bCs/>
          <w:iCs/>
          <w:kern w:val="36"/>
          <w:sz w:val="24"/>
          <w:szCs w:val="24"/>
          <w:lang w:eastAsia="it-IT"/>
        </w:rPr>
        <w:t>lle banche</w:t>
      </w:r>
      <w:r w:rsidR="00987FE0">
        <w:rPr>
          <w:rFonts w:ascii="Times New Roman" w:eastAsia="Times New Roman" w:hAnsi="Times New Roman" w:cs="Century Gothic"/>
          <w:bCs/>
          <w:iCs/>
          <w:kern w:val="36"/>
          <w:sz w:val="24"/>
          <w:szCs w:val="24"/>
          <w:lang w:eastAsia="it-IT"/>
        </w:rPr>
        <w:t>.</w:t>
      </w:r>
      <w:r>
        <w:rPr>
          <w:rFonts w:ascii="Times New Roman" w:eastAsia="Times New Roman" w:hAnsi="Times New Roman" w:cs="Century Gothic"/>
          <w:bCs/>
          <w:iCs/>
          <w:kern w:val="36"/>
          <w:sz w:val="24"/>
          <w:szCs w:val="24"/>
          <w:lang w:eastAsia="it-IT"/>
        </w:rPr>
        <w:t xml:space="preserve"> </w:t>
      </w:r>
      <w:r w:rsidR="003744E5" w:rsidRPr="00BC3EE5">
        <w:rPr>
          <w:rFonts w:ascii="Times New Roman" w:eastAsia="Times New Roman" w:hAnsi="Times New Roman" w:cs="Century Gothic"/>
          <w:bCs/>
          <w:iCs/>
          <w:kern w:val="36"/>
          <w:sz w:val="24"/>
          <w:szCs w:val="24"/>
          <w:lang w:eastAsia="it-IT"/>
        </w:rPr>
        <w:t>Banco Popolare</w:t>
      </w:r>
      <w:r w:rsidR="003744E5" w:rsidRPr="003744E5">
        <w:rPr>
          <w:rFonts w:ascii="Times New Roman" w:eastAsia="Times New Roman" w:hAnsi="Times New Roman" w:cs="Century Gothic"/>
          <w:bCs/>
          <w:iCs/>
          <w:kern w:val="36"/>
          <w:sz w:val="24"/>
          <w:szCs w:val="24"/>
          <w:lang w:eastAsia="it-IT"/>
        </w:rPr>
        <w:t xml:space="preserve"> </w:t>
      </w:r>
      <w:r w:rsidR="00074441">
        <w:rPr>
          <w:rFonts w:ascii="Times New Roman" w:eastAsia="Times New Roman" w:hAnsi="Times New Roman" w:cs="Century Gothic"/>
          <w:bCs/>
          <w:iCs/>
          <w:kern w:val="36"/>
          <w:sz w:val="24"/>
          <w:szCs w:val="24"/>
          <w:lang w:eastAsia="it-IT"/>
        </w:rPr>
        <w:t xml:space="preserve">ha il record negativo con l’87,7% </w:t>
      </w:r>
      <w:r w:rsidR="003744E5" w:rsidRPr="003744E5">
        <w:rPr>
          <w:rFonts w:ascii="Times New Roman" w:eastAsia="Times New Roman" w:hAnsi="Times New Roman" w:cs="Century Gothic"/>
          <w:bCs/>
          <w:iCs/>
          <w:kern w:val="36"/>
          <w:sz w:val="24"/>
          <w:szCs w:val="24"/>
          <w:lang w:eastAsia="it-IT"/>
        </w:rPr>
        <w:t xml:space="preserve">seguito </w:t>
      </w:r>
      <w:r w:rsidR="00074441">
        <w:rPr>
          <w:rFonts w:ascii="Times New Roman" w:eastAsia="Times New Roman" w:hAnsi="Times New Roman" w:cs="Century Gothic"/>
          <w:bCs/>
          <w:iCs/>
          <w:kern w:val="36"/>
          <w:sz w:val="24"/>
          <w:szCs w:val="24"/>
          <w:lang w:eastAsia="it-IT"/>
        </w:rPr>
        <w:t xml:space="preserve">da BPM </w:t>
      </w:r>
      <w:r w:rsidR="003744E5" w:rsidRPr="003744E5">
        <w:rPr>
          <w:rFonts w:ascii="Times New Roman" w:eastAsia="Times New Roman" w:hAnsi="Times New Roman" w:cs="Century Gothic"/>
          <w:bCs/>
          <w:iCs/>
          <w:kern w:val="36"/>
          <w:sz w:val="24"/>
          <w:szCs w:val="24"/>
          <w:lang w:eastAsia="it-IT"/>
        </w:rPr>
        <w:t>con l’82,6%</w:t>
      </w:r>
      <w:r w:rsidR="00074441">
        <w:rPr>
          <w:rFonts w:ascii="Times New Roman" w:eastAsia="Times New Roman" w:hAnsi="Times New Roman" w:cs="Century Gothic"/>
          <w:bCs/>
          <w:iCs/>
          <w:kern w:val="36"/>
          <w:sz w:val="24"/>
          <w:szCs w:val="24"/>
          <w:lang w:eastAsia="it-IT"/>
        </w:rPr>
        <w:t xml:space="preserve"> e da Carige</w:t>
      </w:r>
      <w:r w:rsidR="00987FE0">
        <w:rPr>
          <w:rFonts w:ascii="Times New Roman" w:eastAsia="Times New Roman" w:hAnsi="Times New Roman" w:cs="Century Gothic"/>
          <w:bCs/>
          <w:iCs/>
          <w:kern w:val="36"/>
          <w:sz w:val="24"/>
          <w:szCs w:val="24"/>
          <w:lang w:eastAsia="it-IT"/>
        </w:rPr>
        <w:t>,</w:t>
      </w:r>
      <w:r w:rsidR="00074441">
        <w:rPr>
          <w:rFonts w:ascii="Times New Roman" w:eastAsia="Times New Roman" w:hAnsi="Times New Roman" w:cs="Century Gothic"/>
          <w:bCs/>
          <w:iCs/>
          <w:kern w:val="36"/>
          <w:sz w:val="24"/>
          <w:szCs w:val="24"/>
          <w:lang w:eastAsia="it-IT"/>
        </w:rPr>
        <w:t xml:space="preserve"> che si piazza al terzo posto </w:t>
      </w:r>
      <w:r w:rsidR="003744E5" w:rsidRPr="003744E5">
        <w:rPr>
          <w:rFonts w:ascii="Times New Roman" w:eastAsia="Times New Roman" w:hAnsi="Times New Roman" w:cs="Century Gothic"/>
          <w:bCs/>
          <w:iCs/>
          <w:kern w:val="36"/>
          <w:sz w:val="24"/>
          <w:szCs w:val="24"/>
          <w:lang w:eastAsia="it-IT"/>
        </w:rPr>
        <w:t>con il 72,6%</w:t>
      </w:r>
      <w:r w:rsidR="00987FE0">
        <w:rPr>
          <w:rFonts w:ascii="Times New Roman" w:eastAsia="Times New Roman" w:hAnsi="Times New Roman" w:cs="Century Gothic"/>
          <w:bCs/>
          <w:iCs/>
          <w:kern w:val="36"/>
          <w:sz w:val="24"/>
          <w:szCs w:val="24"/>
          <w:lang w:eastAsia="it-IT"/>
        </w:rPr>
        <w:t>: i</w:t>
      </w:r>
      <w:r w:rsidR="003744E5" w:rsidRPr="003744E5">
        <w:rPr>
          <w:rFonts w:ascii="Times New Roman" w:eastAsia="Times New Roman" w:hAnsi="Times New Roman" w:cs="Century Gothic"/>
          <w:bCs/>
          <w:iCs/>
          <w:kern w:val="36"/>
          <w:sz w:val="24"/>
          <w:szCs w:val="24"/>
          <w:lang w:eastAsia="it-IT"/>
        </w:rPr>
        <w:t xml:space="preserve"> crediti deteriorati </w:t>
      </w:r>
      <w:r w:rsidR="00987FE0">
        <w:rPr>
          <w:rFonts w:ascii="Times New Roman" w:eastAsia="Times New Roman" w:hAnsi="Times New Roman" w:cs="Century Gothic"/>
          <w:bCs/>
          <w:iCs/>
          <w:kern w:val="36"/>
          <w:sz w:val="24"/>
          <w:szCs w:val="24"/>
          <w:lang w:eastAsia="it-IT"/>
        </w:rPr>
        <w:t xml:space="preserve">di queste 3 banche hanno mangiato </w:t>
      </w:r>
      <w:r w:rsidR="003744E5" w:rsidRPr="003744E5">
        <w:rPr>
          <w:rFonts w:ascii="Times New Roman" w:eastAsia="Times New Roman" w:hAnsi="Times New Roman" w:cs="Century Gothic"/>
          <w:bCs/>
          <w:iCs/>
          <w:kern w:val="36"/>
          <w:sz w:val="24"/>
          <w:szCs w:val="24"/>
          <w:lang w:eastAsia="it-IT"/>
        </w:rPr>
        <w:t>l’</w:t>
      </w:r>
      <w:r w:rsidR="00987FE0">
        <w:rPr>
          <w:rFonts w:ascii="Times New Roman" w:eastAsia="Times New Roman" w:hAnsi="Times New Roman" w:cs="Century Gothic"/>
          <w:bCs/>
          <w:iCs/>
          <w:kern w:val="36"/>
          <w:sz w:val="24"/>
          <w:szCs w:val="24"/>
          <w:lang w:eastAsia="it-IT"/>
        </w:rPr>
        <w:t>i</w:t>
      </w:r>
      <w:r w:rsidR="003744E5" w:rsidRPr="003744E5">
        <w:rPr>
          <w:rFonts w:ascii="Times New Roman" w:eastAsia="Times New Roman" w:hAnsi="Times New Roman" w:cs="Century Gothic"/>
          <w:bCs/>
          <w:iCs/>
          <w:kern w:val="36"/>
          <w:sz w:val="24"/>
          <w:szCs w:val="24"/>
          <w:lang w:eastAsia="it-IT"/>
        </w:rPr>
        <w:t>ntero patrimonio.</w:t>
      </w:r>
      <w:r w:rsidR="00987FE0">
        <w:rPr>
          <w:rFonts w:ascii="Times New Roman" w:eastAsia="Times New Roman" w:hAnsi="Times New Roman" w:cs="Century Gothic"/>
          <w:bCs/>
          <w:iCs/>
          <w:kern w:val="36"/>
          <w:sz w:val="24"/>
          <w:szCs w:val="24"/>
          <w:lang w:eastAsia="it-IT"/>
        </w:rPr>
        <w:t xml:space="preserve"> Seguono </w:t>
      </w:r>
      <w:proofErr w:type="spellStart"/>
      <w:r w:rsidR="00987FE0">
        <w:rPr>
          <w:rFonts w:ascii="Times New Roman" w:eastAsia="Times New Roman" w:hAnsi="Times New Roman" w:cs="Century Gothic"/>
          <w:bCs/>
          <w:iCs/>
          <w:kern w:val="36"/>
          <w:sz w:val="24"/>
          <w:szCs w:val="24"/>
          <w:lang w:eastAsia="it-IT"/>
        </w:rPr>
        <w:t>Bper</w:t>
      </w:r>
      <w:proofErr w:type="spellEnd"/>
      <w:r w:rsidR="00987FE0">
        <w:rPr>
          <w:rFonts w:ascii="Times New Roman" w:eastAsia="Times New Roman" w:hAnsi="Times New Roman" w:cs="Century Gothic"/>
          <w:bCs/>
          <w:iCs/>
          <w:kern w:val="36"/>
          <w:sz w:val="24"/>
          <w:szCs w:val="24"/>
          <w:lang w:eastAsia="it-IT"/>
        </w:rPr>
        <w:t xml:space="preserve"> con il</w:t>
      </w:r>
      <w:r w:rsidR="003744E5" w:rsidRPr="003744E5">
        <w:rPr>
          <w:rFonts w:ascii="Times New Roman" w:eastAsia="Times New Roman" w:hAnsi="Times New Roman" w:cs="Century Gothic"/>
          <w:bCs/>
          <w:iCs/>
          <w:kern w:val="36"/>
          <w:sz w:val="24"/>
          <w:szCs w:val="24"/>
          <w:lang w:eastAsia="it-IT"/>
        </w:rPr>
        <w:t xml:space="preserve"> 61,7%</w:t>
      </w:r>
      <w:r w:rsidR="00987FE0">
        <w:rPr>
          <w:rFonts w:ascii="Times New Roman" w:eastAsia="Times New Roman" w:hAnsi="Times New Roman" w:cs="Century Gothic"/>
          <w:bCs/>
          <w:iCs/>
          <w:kern w:val="36"/>
          <w:sz w:val="24"/>
          <w:szCs w:val="24"/>
          <w:lang w:eastAsia="it-IT"/>
        </w:rPr>
        <w:t xml:space="preserve">; </w:t>
      </w:r>
      <w:r w:rsidR="003744E5" w:rsidRPr="00BC3EE5">
        <w:rPr>
          <w:rFonts w:ascii="Times New Roman" w:eastAsia="Times New Roman" w:hAnsi="Times New Roman" w:cs="Century Gothic"/>
          <w:bCs/>
          <w:iCs/>
          <w:kern w:val="36"/>
          <w:sz w:val="24"/>
          <w:szCs w:val="24"/>
          <w:lang w:eastAsia="it-IT"/>
        </w:rPr>
        <w:t>Unicredit</w:t>
      </w:r>
      <w:r w:rsidR="00987FE0">
        <w:rPr>
          <w:rFonts w:ascii="Times New Roman" w:eastAsia="Times New Roman" w:hAnsi="Times New Roman" w:cs="Century Gothic"/>
          <w:bCs/>
          <w:iCs/>
          <w:kern w:val="36"/>
          <w:sz w:val="24"/>
          <w:szCs w:val="24"/>
          <w:lang w:eastAsia="it-IT"/>
        </w:rPr>
        <w:t xml:space="preserve"> con il 44,3%;</w:t>
      </w:r>
      <w:r w:rsidR="003744E5" w:rsidRPr="003744E5">
        <w:rPr>
          <w:rFonts w:ascii="Times New Roman" w:eastAsia="Times New Roman" w:hAnsi="Times New Roman" w:cs="Century Gothic"/>
          <w:bCs/>
          <w:iCs/>
          <w:kern w:val="36"/>
          <w:sz w:val="24"/>
          <w:szCs w:val="24"/>
          <w:lang w:eastAsia="it-IT"/>
        </w:rPr>
        <w:t> </w:t>
      </w:r>
      <w:proofErr w:type="spellStart"/>
      <w:r w:rsidR="003744E5" w:rsidRPr="00BC3EE5">
        <w:rPr>
          <w:rFonts w:ascii="Times New Roman" w:eastAsia="Times New Roman" w:hAnsi="Times New Roman" w:cs="Century Gothic"/>
          <w:bCs/>
          <w:iCs/>
          <w:kern w:val="36"/>
          <w:sz w:val="24"/>
          <w:szCs w:val="24"/>
          <w:lang w:eastAsia="it-IT"/>
        </w:rPr>
        <w:t>Ubi</w:t>
      </w:r>
      <w:proofErr w:type="spellEnd"/>
      <w:r w:rsidR="003744E5" w:rsidRPr="003744E5">
        <w:rPr>
          <w:rFonts w:ascii="Times New Roman" w:eastAsia="Times New Roman" w:hAnsi="Times New Roman" w:cs="Century Gothic"/>
          <w:bCs/>
          <w:iCs/>
          <w:kern w:val="36"/>
          <w:sz w:val="24"/>
          <w:szCs w:val="24"/>
          <w:lang w:eastAsia="it-IT"/>
        </w:rPr>
        <w:t> </w:t>
      </w:r>
      <w:r w:rsidR="00987FE0">
        <w:rPr>
          <w:rFonts w:ascii="Times New Roman" w:eastAsia="Times New Roman" w:hAnsi="Times New Roman" w:cs="Century Gothic"/>
          <w:bCs/>
          <w:iCs/>
          <w:kern w:val="36"/>
          <w:sz w:val="24"/>
          <w:szCs w:val="24"/>
          <w:lang w:eastAsia="it-IT"/>
        </w:rPr>
        <w:t xml:space="preserve">banca col </w:t>
      </w:r>
      <w:r w:rsidR="003744E5" w:rsidRPr="003744E5">
        <w:rPr>
          <w:rFonts w:ascii="Times New Roman" w:eastAsia="Times New Roman" w:hAnsi="Times New Roman" w:cs="Century Gothic"/>
          <w:bCs/>
          <w:iCs/>
          <w:kern w:val="36"/>
          <w:sz w:val="24"/>
          <w:szCs w:val="24"/>
          <w:lang w:eastAsia="it-IT"/>
        </w:rPr>
        <w:t xml:space="preserve"> 43%</w:t>
      </w:r>
      <w:r w:rsidR="00987FE0">
        <w:rPr>
          <w:rFonts w:ascii="Times New Roman" w:eastAsia="Times New Roman" w:hAnsi="Times New Roman" w:cs="Century Gothic"/>
          <w:bCs/>
          <w:iCs/>
          <w:kern w:val="36"/>
          <w:sz w:val="24"/>
          <w:szCs w:val="24"/>
          <w:lang w:eastAsia="it-IT"/>
        </w:rPr>
        <w:t xml:space="preserve">; </w:t>
      </w:r>
      <w:r w:rsidR="003744E5" w:rsidRPr="00BC3EE5">
        <w:rPr>
          <w:rFonts w:ascii="Times New Roman" w:eastAsia="Times New Roman" w:hAnsi="Times New Roman" w:cs="Century Gothic"/>
          <w:bCs/>
          <w:iCs/>
          <w:kern w:val="36"/>
          <w:sz w:val="24"/>
          <w:szCs w:val="24"/>
          <w:lang w:eastAsia="it-IT"/>
        </w:rPr>
        <w:t> Intesa</w:t>
      </w:r>
      <w:r w:rsidR="003744E5" w:rsidRPr="003744E5">
        <w:rPr>
          <w:rFonts w:ascii="Times New Roman" w:eastAsia="Times New Roman" w:hAnsi="Times New Roman" w:cs="Century Gothic"/>
          <w:bCs/>
          <w:iCs/>
          <w:kern w:val="36"/>
          <w:sz w:val="24"/>
          <w:szCs w:val="24"/>
          <w:lang w:eastAsia="it-IT"/>
        </w:rPr>
        <w:t> </w:t>
      </w:r>
      <w:r w:rsidR="00987FE0">
        <w:rPr>
          <w:rFonts w:ascii="Times New Roman" w:eastAsia="Times New Roman" w:hAnsi="Times New Roman" w:cs="Century Gothic"/>
          <w:bCs/>
          <w:iCs/>
          <w:kern w:val="36"/>
          <w:sz w:val="24"/>
          <w:szCs w:val="24"/>
          <w:lang w:eastAsia="it-IT"/>
        </w:rPr>
        <w:t>San Paolo con il</w:t>
      </w:r>
      <w:r w:rsidR="003744E5" w:rsidRPr="003744E5">
        <w:rPr>
          <w:rFonts w:ascii="Times New Roman" w:eastAsia="Times New Roman" w:hAnsi="Times New Roman" w:cs="Century Gothic"/>
          <w:bCs/>
          <w:iCs/>
          <w:kern w:val="36"/>
          <w:sz w:val="24"/>
          <w:szCs w:val="24"/>
          <w:lang w:eastAsia="it-IT"/>
        </w:rPr>
        <w:t xml:space="preserve"> 37,8%. </w:t>
      </w:r>
    </w:p>
    <w:p w:rsidR="0032701C" w:rsidRDefault="007B6622" w:rsidP="00BC3E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 A fronte di questa disastrosa gestione del credito e del risparmio, che non lascia margini a dubbi e giustificazioni e che dovrebbe indurre Banca d’Italia a chiedere conto ai banchieri perché utilizzano i sudati risparmi degli italiani per finanziare le aziende decotte fatte di amici e compari come  </w:t>
      </w:r>
      <w:proofErr w:type="spellStart"/>
      <w:r>
        <w:rPr>
          <w:rFonts w:ascii="Times New Roman" w:eastAsia="Times New Roman" w:hAnsi="Times New Roman" w:cs="Century Gothic"/>
          <w:bCs/>
          <w:iCs/>
          <w:kern w:val="36"/>
          <w:sz w:val="24"/>
          <w:szCs w:val="24"/>
          <w:lang w:eastAsia="it-IT"/>
        </w:rPr>
        <w:t>Zalesky</w:t>
      </w:r>
      <w:proofErr w:type="spellEnd"/>
      <w:r>
        <w:rPr>
          <w:rFonts w:ascii="Times New Roman" w:eastAsia="Times New Roman" w:hAnsi="Times New Roman" w:cs="Century Gothic"/>
          <w:bCs/>
          <w:iCs/>
          <w:kern w:val="36"/>
          <w:sz w:val="24"/>
          <w:szCs w:val="24"/>
          <w:lang w:eastAsia="it-IT"/>
        </w:rPr>
        <w:t xml:space="preserve">, </w:t>
      </w:r>
      <w:proofErr w:type="spellStart"/>
      <w:r>
        <w:rPr>
          <w:rFonts w:ascii="Times New Roman" w:eastAsia="Times New Roman" w:hAnsi="Times New Roman" w:cs="Century Gothic"/>
          <w:bCs/>
          <w:iCs/>
          <w:kern w:val="36"/>
          <w:sz w:val="24"/>
          <w:szCs w:val="24"/>
          <w:lang w:eastAsia="it-IT"/>
        </w:rPr>
        <w:t>Zunino,Ligresti</w:t>
      </w:r>
      <w:proofErr w:type="spellEnd"/>
      <w:r>
        <w:rPr>
          <w:rFonts w:ascii="Times New Roman" w:eastAsia="Times New Roman" w:hAnsi="Times New Roman" w:cs="Century Gothic"/>
          <w:bCs/>
          <w:iCs/>
          <w:kern w:val="36"/>
          <w:sz w:val="24"/>
          <w:szCs w:val="24"/>
          <w:lang w:eastAsia="it-IT"/>
        </w:rPr>
        <w:t xml:space="preserve"> invece di offrire credito ad imprenditori meritevoli, Adusbef e Federconsumatori chiedono</w:t>
      </w:r>
      <w:r w:rsidR="0032701C">
        <w:rPr>
          <w:rFonts w:ascii="Times New Roman" w:eastAsia="Times New Roman" w:hAnsi="Times New Roman" w:cs="Century Gothic"/>
          <w:bCs/>
          <w:iCs/>
          <w:kern w:val="36"/>
          <w:sz w:val="24"/>
          <w:szCs w:val="24"/>
          <w:lang w:eastAsia="it-IT"/>
        </w:rPr>
        <w:t xml:space="preserve"> al Governo,</w:t>
      </w:r>
      <w:r>
        <w:rPr>
          <w:rFonts w:ascii="Times New Roman" w:eastAsia="Times New Roman" w:hAnsi="Times New Roman" w:cs="Century Gothic"/>
          <w:bCs/>
          <w:iCs/>
          <w:kern w:val="36"/>
          <w:sz w:val="24"/>
          <w:szCs w:val="24"/>
          <w:lang w:eastAsia="it-IT"/>
        </w:rPr>
        <w:t xml:space="preserve"> </w:t>
      </w:r>
      <w:r w:rsidR="0032701C">
        <w:rPr>
          <w:rFonts w:ascii="Times New Roman" w:eastAsia="Times New Roman" w:hAnsi="Times New Roman" w:cs="Century Gothic"/>
          <w:bCs/>
          <w:iCs/>
          <w:kern w:val="36"/>
          <w:sz w:val="24"/>
          <w:szCs w:val="24"/>
          <w:lang w:eastAsia="it-IT"/>
        </w:rPr>
        <w:t xml:space="preserve">sempre più </w:t>
      </w:r>
      <w:r>
        <w:rPr>
          <w:rFonts w:ascii="Times New Roman" w:eastAsia="Times New Roman" w:hAnsi="Times New Roman" w:cs="Century Gothic"/>
          <w:bCs/>
          <w:iCs/>
          <w:kern w:val="36"/>
          <w:sz w:val="24"/>
          <w:szCs w:val="24"/>
          <w:lang w:eastAsia="it-IT"/>
        </w:rPr>
        <w:t xml:space="preserve">a braccetto </w:t>
      </w:r>
      <w:r w:rsidR="0032701C">
        <w:rPr>
          <w:rFonts w:ascii="Times New Roman" w:eastAsia="Times New Roman" w:hAnsi="Times New Roman" w:cs="Century Gothic"/>
          <w:bCs/>
          <w:iCs/>
          <w:kern w:val="36"/>
          <w:sz w:val="24"/>
          <w:szCs w:val="24"/>
          <w:lang w:eastAsia="it-IT"/>
        </w:rPr>
        <w:t xml:space="preserve">con le banche amiche nell’assecondare i loro desiderata, come la rivalutazione delle quote di Bankitalia ed il regalo fiscale di 19,4 miliardi di euro inserito nella legge di stabilità, di sanzionare una gestione imprudente che danneggia le </w:t>
      </w:r>
      <w:proofErr w:type="spellStart"/>
      <w:r w:rsidR="0032701C">
        <w:rPr>
          <w:rFonts w:ascii="Times New Roman" w:eastAsia="Times New Roman" w:hAnsi="Times New Roman" w:cs="Century Gothic"/>
          <w:bCs/>
          <w:iCs/>
          <w:kern w:val="36"/>
          <w:sz w:val="24"/>
          <w:szCs w:val="24"/>
          <w:lang w:eastAsia="it-IT"/>
        </w:rPr>
        <w:t>Pmi</w:t>
      </w:r>
      <w:proofErr w:type="spellEnd"/>
      <w:r w:rsidR="0032701C">
        <w:rPr>
          <w:rFonts w:ascii="Times New Roman" w:eastAsia="Times New Roman" w:hAnsi="Times New Roman" w:cs="Century Gothic"/>
          <w:bCs/>
          <w:iCs/>
          <w:kern w:val="36"/>
          <w:sz w:val="24"/>
          <w:szCs w:val="24"/>
          <w:lang w:eastAsia="it-IT"/>
        </w:rPr>
        <w:t xml:space="preserve"> e le famiglie, nuocendo gravemente all’economia italiana.</w:t>
      </w:r>
    </w:p>
    <w:p w:rsidR="0032701C" w:rsidRDefault="0032701C" w:rsidP="00BC3EE5">
      <w:pPr>
        <w:spacing w:after="0" w:line="240" w:lineRule="auto"/>
        <w:textAlignment w:val="baseline"/>
        <w:rPr>
          <w:rFonts w:ascii="Times New Roman" w:eastAsia="Times New Roman" w:hAnsi="Times New Roman" w:cs="Century Gothic"/>
          <w:bCs/>
          <w:iCs/>
          <w:kern w:val="36"/>
          <w:sz w:val="24"/>
          <w:szCs w:val="24"/>
          <w:lang w:eastAsia="it-IT"/>
        </w:rPr>
      </w:pPr>
    </w:p>
    <w:p w:rsidR="0032701C" w:rsidRDefault="0032701C" w:rsidP="00BC3E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                                                       Elio Lannutti (Adusbef) – Rosario Trefiletti (Federconsumatori)  </w:t>
      </w:r>
    </w:p>
    <w:p w:rsidR="007B6622" w:rsidRDefault="0032701C" w:rsidP="00BC3EE5">
      <w:pPr>
        <w:spacing w:after="0" w:line="240" w:lineRule="auto"/>
        <w:textAlignment w:val="baseline"/>
        <w:rPr>
          <w:rFonts w:ascii="Times New Roman" w:eastAsia="Times New Roman" w:hAnsi="Times New Roman" w:cs="Century Gothic"/>
          <w:bCs/>
          <w:iCs/>
          <w:kern w:val="36"/>
          <w:sz w:val="24"/>
          <w:szCs w:val="24"/>
          <w:lang w:eastAsia="it-IT"/>
        </w:rPr>
      </w:pPr>
      <w:r>
        <w:rPr>
          <w:rFonts w:ascii="Times New Roman" w:eastAsia="Times New Roman" w:hAnsi="Times New Roman" w:cs="Century Gothic"/>
          <w:bCs/>
          <w:iCs/>
          <w:kern w:val="36"/>
          <w:sz w:val="24"/>
          <w:szCs w:val="24"/>
          <w:lang w:eastAsia="it-IT"/>
        </w:rPr>
        <w:t xml:space="preserve">Roma,14.12.2013                 </w:t>
      </w:r>
    </w:p>
    <w:p w:rsidR="00987FE0" w:rsidRPr="003744E5" w:rsidRDefault="00987FE0" w:rsidP="00BC3EE5">
      <w:pPr>
        <w:spacing w:after="0" w:line="240" w:lineRule="auto"/>
        <w:textAlignment w:val="baseline"/>
        <w:rPr>
          <w:rFonts w:ascii="Times New Roman" w:eastAsia="Times New Roman" w:hAnsi="Times New Roman" w:cs="Century Gothic"/>
          <w:bCs/>
          <w:iCs/>
          <w:kern w:val="36"/>
          <w:sz w:val="24"/>
          <w:szCs w:val="24"/>
          <w:lang w:eastAsia="it-IT"/>
        </w:rPr>
      </w:pPr>
    </w:p>
    <w:p w:rsidR="003744E5" w:rsidRDefault="003744E5" w:rsidP="003744E5">
      <w:pPr>
        <w:spacing w:after="0" w:line="240" w:lineRule="auto"/>
        <w:jc w:val="left"/>
        <w:rPr>
          <w:rFonts w:ascii="Times New Roman" w:hAnsi="Times New Roman" w:cs="Times New Roman"/>
          <w:sz w:val="24"/>
          <w:szCs w:val="24"/>
          <w:lang w:eastAsia="it-IT"/>
        </w:rPr>
      </w:pPr>
      <w:r w:rsidRPr="003744E5">
        <w:rPr>
          <w:rFonts w:ascii="Times New Roman" w:hAnsi="Times New Roman" w:cs="Times New Roman"/>
          <w:sz w:val="24"/>
          <w:szCs w:val="24"/>
          <w:lang w:eastAsia="it-IT"/>
        </w:rPr>
        <w:t>Crediti Deteriorati pari a 243 miliardi di euro</w:t>
      </w:r>
    </w:p>
    <w:p w:rsidR="00987FE0" w:rsidRDefault="00987FE0" w:rsidP="003744E5">
      <w:pPr>
        <w:spacing w:after="0" w:line="240" w:lineRule="auto"/>
        <w:jc w:val="left"/>
        <w:rPr>
          <w:rFonts w:ascii="Times New Roman" w:hAnsi="Times New Roman" w:cs="Times New Roman"/>
          <w:sz w:val="24"/>
          <w:szCs w:val="24"/>
          <w:lang w:eastAsia="it-IT"/>
        </w:rPr>
      </w:pPr>
    </w:p>
    <w:p w:rsidR="00987FE0" w:rsidRPr="003744E5" w:rsidRDefault="00987FE0" w:rsidP="003744E5">
      <w:pPr>
        <w:spacing w:after="0" w:line="240" w:lineRule="auto"/>
        <w:jc w:val="left"/>
        <w:rPr>
          <w:rFonts w:ascii="Times New Roman" w:hAnsi="Times New Roman" w:cs="Times New Roman"/>
          <w:sz w:val="24"/>
          <w:szCs w:val="24"/>
          <w:lang w:eastAsia="it-IT"/>
        </w:rPr>
      </w:pPr>
    </w:p>
    <w:tbl>
      <w:tblPr>
        <w:tblStyle w:val="Grigliatabella"/>
        <w:tblW w:w="0" w:type="auto"/>
        <w:tblLook w:val="04A0" w:firstRow="1" w:lastRow="0" w:firstColumn="1" w:lastColumn="0" w:noHBand="0" w:noVBand="1"/>
      </w:tblPr>
      <w:tblGrid>
        <w:gridCol w:w="2444"/>
        <w:gridCol w:w="2445"/>
      </w:tblGrid>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Unicredit</w:t>
            </w:r>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23 % (55,9 mld)</w:t>
            </w:r>
          </w:p>
        </w:tc>
      </w:tr>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proofErr w:type="spellStart"/>
            <w:r w:rsidRPr="003744E5">
              <w:rPr>
                <w:rFonts w:cs="Times New Roman"/>
                <w:sz w:val="24"/>
                <w:szCs w:val="24"/>
              </w:rPr>
              <w:t>IntesaSanPaolo</w:t>
            </w:r>
            <w:proofErr w:type="spellEnd"/>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20% (48,6 mld)</w:t>
            </w:r>
          </w:p>
        </w:tc>
      </w:tr>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MPS</w:t>
            </w:r>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12% (29,3 mld)</w:t>
            </w:r>
          </w:p>
        </w:tc>
      </w:tr>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Banco Popolare</w:t>
            </w:r>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7% (17,0 mld)</w:t>
            </w:r>
          </w:p>
        </w:tc>
      </w:tr>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UBI</w:t>
            </w:r>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5% (12,2 mld)</w:t>
            </w:r>
          </w:p>
        </w:tc>
      </w:tr>
      <w:tr w:rsidR="003744E5" w:rsidRPr="003744E5" w:rsidTr="002A17F0">
        <w:tc>
          <w:tcPr>
            <w:tcW w:w="2444"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Banco Pop. Emilia R.</w:t>
            </w:r>
          </w:p>
        </w:tc>
        <w:tc>
          <w:tcPr>
            <w:tcW w:w="2445"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3% (7,3 mld)</w:t>
            </w:r>
          </w:p>
        </w:tc>
      </w:tr>
    </w:tbl>
    <w:p w:rsidR="003744E5" w:rsidRPr="003744E5" w:rsidRDefault="003744E5" w:rsidP="003744E5">
      <w:pPr>
        <w:spacing w:after="0" w:line="240" w:lineRule="auto"/>
        <w:jc w:val="left"/>
        <w:rPr>
          <w:rFonts w:ascii="Times New Roman" w:hAnsi="Times New Roman" w:cs="Times New Roman"/>
          <w:sz w:val="24"/>
          <w:szCs w:val="24"/>
          <w:lang w:eastAsia="it-IT"/>
        </w:rPr>
      </w:pPr>
    </w:p>
    <w:p w:rsidR="00987FE0" w:rsidRDefault="00987FE0" w:rsidP="003744E5">
      <w:pPr>
        <w:spacing w:after="0" w:line="240" w:lineRule="auto"/>
        <w:jc w:val="left"/>
        <w:rPr>
          <w:rFonts w:ascii="Times New Roman" w:hAnsi="Times New Roman" w:cs="Times New Roman"/>
          <w:sz w:val="24"/>
          <w:szCs w:val="24"/>
          <w:lang w:eastAsia="it-IT"/>
        </w:rPr>
      </w:pPr>
    </w:p>
    <w:p w:rsidR="0032701C" w:rsidRDefault="0032701C" w:rsidP="003744E5">
      <w:pPr>
        <w:spacing w:after="0" w:line="240" w:lineRule="auto"/>
        <w:jc w:val="left"/>
        <w:rPr>
          <w:rFonts w:ascii="Times New Roman" w:hAnsi="Times New Roman" w:cs="Times New Roman"/>
          <w:sz w:val="24"/>
          <w:szCs w:val="24"/>
          <w:lang w:eastAsia="it-IT"/>
        </w:rPr>
      </w:pPr>
    </w:p>
    <w:p w:rsidR="003744E5" w:rsidRPr="003744E5" w:rsidRDefault="003744E5" w:rsidP="003744E5">
      <w:pPr>
        <w:spacing w:after="0" w:line="240" w:lineRule="auto"/>
        <w:jc w:val="left"/>
        <w:rPr>
          <w:rFonts w:ascii="Times New Roman" w:hAnsi="Times New Roman" w:cs="Times New Roman"/>
          <w:sz w:val="24"/>
          <w:szCs w:val="24"/>
          <w:lang w:eastAsia="it-IT"/>
        </w:rPr>
      </w:pPr>
      <w:r w:rsidRPr="003744E5">
        <w:rPr>
          <w:rFonts w:ascii="Times New Roman" w:hAnsi="Times New Roman" w:cs="Times New Roman"/>
          <w:sz w:val="24"/>
          <w:szCs w:val="24"/>
          <w:lang w:eastAsia="it-IT"/>
        </w:rPr>
        <w:lastRenderedPageBreak/>
        <w:t xml:space="preserve">Rapporto Crediti deteriorati su Crediti alla clientela </w:t>
      </w:r>
    </w:p>
    <w:p w:rsidR="003744E5" w:rsidRPr="003744E5" w:rsidRDefault="003744E5" w:rsidP="003744E5">
      <w:pPr>
        <w:spacing w:after="0" w:line="240" w:lineRule="auto"/>
        <w:jc w:val="left"/>
        <w:rPr>
          <w:rFonts w:ascii="Times New Roman" w:hAnsi="Times New Roman" w:cs="Times New Roman"/>
          <w:sz w:val="24"/>
          <w:szCs w:val="24"/>
          <w:lang w:eastAsia="it-IT"/>
        </w:rPr>
      </w:pPr>
    </w:p>
    <w:tbl>
      <w:tblPr>
        <w:tblStyle w:val="Grigliatabella"/>
        <w:tblW w:w="0" w:type="auto"/>
        <w:tblLook w:val="04A0" w:firstRow="1" w:lastRow="0" w:firstColumn="1" w:lastColumn="0" w:noHBand="0" w:noVBand="1"/>
      </w:tblPr>
      <w:tblGrid>
        <w:gridCol w:w="2376"/>
        <w:gridCol w:w="2552"/>
      </w:tblGrid>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Unipol</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6,3%</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MPS</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BNL</w:t>
            </w:r>
            <w:r w:rsidRPr="003744E5">
              <w:rPr>
                <w:rFonts w:cs="Times New Roman"/>
                <w:sz w:val="24"/>
                <w:szCs w:val="24"/>
              </w:rPr>
              <w:tab/>
            </w:r>
            <w:r w:rsidRPr="003744E5">
              <w:rPr>
                <w:rFonts w:cs="Times New Roman"/>
                <w:sz w:val="24"/>
                <w:szCs w:val="24"/>
              </w:rPr>
              <w:tab/>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4,5%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Unicredit</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3,5%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Intesa</w:t>
            </w:r>
            <w:r w:rsidR="00BC3EE5">
              <w:rPr>
                <w:rFonts w:cs="Times New Roman"/>
                <w:sz w:val="24"/>
                <w:szCs w:val="24"/>
              </w:rPr>
              <w:t xml:space="preserve"> </w:t>
            </w:r>
            <w:r w:rsidRPr="003744E5">
              <w:rPr>
                <w:rFonts w:cs="Times New Roman"/>
                <w:sz w:val="24"/>
                <w:szCs w:val="24"/>
              </w:rPr>
              <w:t>San</w:t>
            </w:r>
            <w:r w:rsidR="00BC3EE5">
              <w:rPr>
                <w:rFonts w:cs="Times New Roman"/>
                <w:sz w:val="24"/>
                <w:szCs w:val="24"/>
              </w:rPr>
              <w:t xml:space="preserve"> </w:t>
            </w:r>
            <w:r w:rsidRPr="003744E5">
              <w:rPr>
                <w:rFonts w:cs="Times New Roman"/>
                <w:sz w:val="24"/>
                <w:szCs w:val="24"/>
              </w:rPr>
              <w:t>Paolo</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 xml:space="preserve"> 3</w:t>
            </w:r>
            <w:r w:rsidR="00B42E1C">
              <w:rPr>
                <w:rFonts w:cs="Times New Roman"/>
                <w:sz w:val="24"/>
                <w:szCs w:val="24"/>
              </w:rPr>
              <w:t>,0</w:t>
            </w:r>
            <w:r w:rsidRPr="003744E5">
              <w:rPr>
                <w:rFonts w:cs="Times New Roman"/>
                <w:sz w:val="24"/>
                <w:szCs w:val="24"/>
              </w:rPr>
              <w:t>%</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Mediobanca</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0,6%</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 xml:space="preserve">MEDIA </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3,5%</w:t>
            </w:r>
          </w:p>
        </w:tc>
      </w:tr>
    </w:tbl>
    <w:p w:rsidR="003744E5" w:rsidRDefault="003744E5" w:rsidP="003744E5">
      <w:pPr>
        <w:spacing w:after="0" w:line="240" w:lineRule="auto"/>
        <w:jc w:val="left"/>
        <w:rPr>
          <w:rFonts w:ascii="Times New Roman" w:hAnsi="Times New Roman" w:cs="Times New Roman"/>
          <w:sz w:val="24"/>
          <w:szCs w:val="24"/>
          <w:lang w:eastAsia="it-IT"/>
        </w:rPr>
      </w:pPr>
    </w:p>
    <w:p w:rsidR="003744E5" w:rsidRPr="003744E5" w:rsidRDefault="003744E5" w:rsidP="003744E5">
      <w:pPr>
        <w:spacing w:after="0" w:line="240" w:lineRule="auto"/>
        <w:jc w:val="left"/>
        <w:rPr>
          <w:rFonts w:ascii="Times New Roman" w:hAnsi="Times New Roman" w:cs="Times New Roman"/>
          <w:sz w:val="24"/>
          <w:szCs w:val="24"/>
          <w:lang w:eastAsia="it-IT"/>
        </w:rPr>
      </w:pPr>
      <w:r w:rsidRPr="003744E5">
        <w:rPr>
          <w:rFonts w:ascii="Times New Roman" w:hAnsi="Times New Roman" w:cs="Times New Roman"/>
          <w:sz w:val="24"/>
          <w:szCs w:val="24"/>
          <w:lang w:eastAsia="it-IT"/>
        </w:rPr>
        <w:t>Rapporto tra Riserve e Crediti deteriorati</w:t>
      </w:r>
    </w:p>
    <w:p w:rsidR="003744E5" w:rsidRPr="003744E5" w:rsidRDefault="003744E5" w:rsidP="003744E5">
      <w:pPr>
        <w:spacing w:after="0" w:line="240" w:lineRule="auto"/>
        <w:jc w:val="left"/>
        <w:rPr>
          <w:rFonts w:ascii="Times New Roman" w:hAnsi="Times New Roman" w:cs="Times New Roman"/>
          <w:sz w:val="24"/>
          <w:szCs w:val="24"/>
          <w:lang w:eastAsia="it-IT"/>
        </w:rPr>
      </w:pPr>
    </w:p>
    <w:tbl>
      <w:tblPr>
        <w:tblStyle w:val="Grigliatabella"/>
        <w:tblW w:w="0" w:type="auto"/>
        <w:tblLook w:val="04A0" w:firstRow="1" w:lastRow="0" w:firstColumn="1" w:lastColumn="0" w:noHBand="0" w:noVBand="1"/>
      </w:tblPr>
      <w:tblGrid>
        <w:gridCol w:w="2376"/>
        <w:gridCol w:w="2552"/>
      </w:tblGrid>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proofErr w:type="spellStart"/>
            <w:r w:rsidRPr="003744E5">
              <w:rPr>
                <w:rFonts w:cs="Times New Roman"/>
                <w:sz w:val="24"/>
                <w:szCs w:val="24"/>
              </w:rPr>
              <w:t>Deutsche</w:t>
            </w:r>
            <w:proofErr w:type="spellEnd"/>
            <w:r w:rsidRPr="003744E5">
              <w:rPr>
                <w:rFonts w:cs="Times New Roman"/>
                <w:sz w:val="24"/>
                <w:szCs w:val="24"/>
              </w:rPr>
              <w:t xml:space="preserve"> </w:t>
            </w:r>
            <w:proofErr w:type="spellStart"/>
            <w:r w:rsidRPr="003744E5">
              <w:rPr>
                <w:rFonts w:cs="Times New Roman"/>
                <w:sz w:val="24"/>
                <w:szCs w:val="24"/>
              </w:rPr>
              <w:t>Bank</w:t>
            </w:r>
            <w:proofErr w:type="spellEnd"/>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70%</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proofErr w:type="spellStart"/>
            <w:r w:rsidRPr="003744E5">
              <w:rPr>
                <w:rFonts w:cs="Times New Roman"/>
                <w:sz w:val="24"/>
                <w:szCs w:val="24"/>
              </w:rPr>
              <w:t>IntesaSanPaolo</w:t>
            </w:r>
            <w:proofErr w:type="spellEnd"/>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60%</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BNL</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60%</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MPS</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55%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Unicredit</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55%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UBI</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45%</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Banco Popolare</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40%</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Banca Marche</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32,3%</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MEDIA</w:t>
            </w:r>
          </w:p>
        </w:tc>
        <w:tc>
          <w:tcPr>
            <w:tcW w:w="2552" w:type="dxa"/>
          </w:tcPr>
          <w:p w:rsidR="003744E5" w:rsidRPr="003744E5" w:rsidRDefault="003744E5" w:rsidP="003744E5">
            <w:pPr>
              <w:spacing w:after="0" w:line="240" w:lineRule="auto"/>
              <w:jc w:val="right"/>
              <w:rPr>
                <w:rFonts w:cs="Times New Roman"/>
                <w:sz w:val="24"/>
                <w:szCs w:val="24"/>
              </w:rPr>
            </w:pPr>
            <w:r w:rsidRPr="003744E5">
              <w:rPr>
                <w:rFonts w:cs="Times New Roman"/>
                <w:sz w:val="24"/>
                <w:szCs w:val="24"/>
              </w:rPr>
              <w:t>55,3%</w:t>
            </w:r>
          </w:p>
        </w:tc>
      </w:tr>
    </w:tbl>
    <w:p w:rsidR="003744E5" w:rsidRPr="003744E5" w:rsidRDefault="003744E5" w:rsidP="003744E5">
      <w:pPr>
        <w:spacing w:after="0" w:line="240" w:lineRule="auto"/>
        <w:jc w:val="left"/>
        <w:rPr>
          <w:rFonts w:ascii="Times New Roman" w:hAnsi="Times New Roman" w:cs="Times New Roman"/>
          <w:sz w:val="24"/>
          <w:szCs w:val="24"/>
          <w:lang w:eastAsia="it-IT"/>
        </w:rPr>
      </w:pPr>
    </w:p>
    <w:p w:rsidR="003744E5" w:rsidRPr="003744E5" w:rsidRDefault="003744E5" w:rsidP="003744E5">
      <w:pPr>
        <w:spacing w:after="0" w:line="240" w:lineRule="auto"/>
        <w:jc w:val="left"/>
        <w:rPr>
          <w:rFonts w:ascii="Times New Roman" w:hAnsi="Times New Roman" w:cs="Times New Roman"/>
          <w:sz w:val="24"/>
          <w:szCs w:val="24"/>
          <w:lang w:eastAsia="it-IT"/>
        </w:rPr>
      </w:pPr>
      <w:r w:rsidRPr="003744E5">
        <w:rPr>
          <w:rFonts w:ascii="Times New Roman" w:hAnsi="Times New Roman" w:cs="Times New Roman"/>
          <w:sz w:val="24"/>
          <w:szCs w:val="24"/>
          <w:lang w:eastAsia="it-IT"/>
        </w:rPr>
        <w:t xml:space="preserve">Rapporto tra Crediti deteriorati e Core </w:t>
      </w:r>
      <w:proofErr w:type="spellStart"/>
      <w:r w:rsidRPr="003744E5">
        <w:rPr>
          <w:rFonts w:ascii="Times New Roman" w:hAnsi="Times New Roman" w:cs="Times New Roman"/>
          <w:sz w:val="24"/>
          <w:szCs w:val="24"/>
          <w:lang w:eastAsia="it-IT"/>
        </w:rPr>
        <w:t>Tier</w:t>
      </w:r>
      <w:proofErr w:type="spellEnd"/>
      <w:r w:rsidRPr="003744E5">
        <w:rPr>
          <w:rFonts w:ascii="Times New Roman" w:hAnsi="Times New Roman" w:cs="Times New Roman"/>
          <w:sz w:val="24"/>
          <w:szCs w:val="24"/>
          <w:lang w:eastAsia="it-IT"/>
        </w:rPr>
        <w:t xml:space="preserve"> 1 (*) </w:t>
      </w:r>
    </w:p>
    <w:p w:rsidR="003744E5" w:rsidRPr="003744E5" w:rsidRDefault="003744E5" w:rsidP="003744E5">
      <w:pPr>
        <w:spacing w:after="0" w:line="240" w:lineRule="auto"/>
        <w:jc w:val="left"/>
        <w:rPr>
          <w:rFonts w:ascii="Times New Roman" w:hAnsi="Times New Roman" w:cs="Times New Roman"/>
          <w:sz w:val="24"/>
          <w:szCs w:val="24"/>
          <w:lang w:eastAsia="it-IT"/>
        </w:rPr>
      </w:pPr>
    </w:p>
    <w:tbl>
      <w:tblPr>
        <w:tblStyle w:val="Grigliatabella"/>
        <w:tblW w:w="0" w:type="auto"/>
        <w:tblLook w:val="04A0" w:firstRow="1" w:lastRow="0" w:firstColumn="1" w:lastColumn="0" w:noHBand="0" w:noVBand="1"/>
      </w:tblPr>
      <w:tblGrid>
        <w:gridCol w:w="2376"/>
        <w:gridCol w:w="2552"/>
      </w:tblGrid>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 xml:space="preserve">Banco Popolare  </w:t>
            </w:r>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87,7%</w:t>
            </w:r>
          </w:p>
        </w:tc>
      </w:tr>
      <w:tr w:rsidR="003744E5" w:rsidRPr="003744E5" w:rsidTr="002A17F0">
        <w:tc>
          <w:tcPr>
            <w:tcW w:w="2376" w:type="dxa"/>
          </w:tcPr>
          <w:p w:rsidR="003744E5" w:rsidRPr="003744E5" w:rsidRDefault="003744E5" w:rsidP="00BC3EE5">
            <w:pPr>
              <w:spacing w:after="0" w:line="240" w:lineRule="auto"/>
              <w:jc w:val="left"/>
              <w:rPr>
                <w:rFonts w:cs="Times New Roman"/>
                <w:sz w:val="24"/>
                <w:szCs w:val="24"/>
              </w:rPr>
            </w:pPr>
            <w:r w:rsidRPr="003744E5">
              <w:rPr>
                <w:rFonts w:cs="Times New Roman"/>
                <w:sz w:val="24"/>
                <w:szCs w:val="24"/>
              </w:rPr>
              <w:t>Banca Popolare Milano</w:t>
            </w:r>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82,6%</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Carige</w:t>
            </w:r>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72,6%</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proofErr w:type="spellStart"/>
            <w:r w:rsidRPr="003744E5">
              <w:rPr>
                <w:rFonts w:cs="Times New Roman"/>
                <w:sz w:val="24"/>
                <w:szCs w:val="24"/>
              </w:rPr>
              <w:t>Bper</w:t>
            </w:r>
            <w:proofErr w:type="spellEnd"/>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61,7%</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Unicredit</w:t>
            </w:r>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44,3%</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UBI</w:t>
            </w:r>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43%</w:t>
            </w:r>
          </w:p>
        </w:tc>
      </w:tr>
      <w:tr w:rsidR="003744E5" w:rsidRPr="003744E5" w:rsidTr="002A17F0">
        <w:tc>
          <w:tcPr>
            <w:tcW w:w="2376" w:type="dxa"/>
          </w:tcPr>
          <w:p w:rsidR="003744E5" w:rsidRPr="003744E5" w:rsidRDefault="003744E5" w:rsidP="003744E5">
            <w:pPr>
              <w:spacing w:after="0" w:line="240" w:lineRule="auto"/>
              <w:jc w:val="left"/>
              <w:rPr>
                <w:rFonts w:cs="Times New Roman"/>
                <w:sz w:val="24"/>
                <w:szCs w:val="24"/>
              </w:rPr>
            </w:pPr>
            <w:proofErr w:type="spellStart"/>
            <w:r w:rsidRPr="003744E5">
              <w:rPr>
                <w:rFonts w:cs="Times New Roman"/>
                <w:sz w:val="24"/>
                <w:szCs w:val="24"/>
              </w:rPr>
              <w:t>IntesaSanpaolo</w:t>
            </w:r>
            <w:proofErr w:type="spellEnd"/>
          </w:p>
        </w:tc>
        <w:tc>
          <w:tcPr>
            <w:tcW w:w="2552" w:type="dxa"/>
          </w:tcPr>
          <w:p w:rsidR="003744E5" w:rsidRPr="003744E5" w:rsidRDefault="003744E5" w:rsidP="003744E5">
            <w:pPr>
              <w:spacing w:after="0" w:line="240" w:lineRule="auto"/>
              <w:jc w:val="left"/>
              <w:rPr>
                <w:rFonts w:cs="Times New Roman"/>
                <w:sz w:val="24"/>
                <w:szCs w:val="24"/>
              </w:rPr>
            </w:pPr>
            <w:r w:rsidRPr="003744E5">
              <w:rPr>
                <w:rFonts w:cs="Times New Roman"/>
                <w:sz w:val="24"/>
                <w:szCs w:val="24"/>
              </w:rPr>
              <w:t>37,8%</w:t>
            </w:r>
          </w:p>
        </w:tc>
      </w:tr>
    </w:tbl>
    <w:p w:rsidR="003744E5" w:rsidRPr="003744E5" w:rsidRDefault="003744E5" w:rsidP="003744E5">
      <w:pPr>
        <w:spacing w:after="0" w:line="240" w:lineRule="auto"/>
        <w:jc w:val="left"/>
        <w:rPr>
          <w:rFonts w:ascii="Times New Roman" w:hAnsi="Times New Roman" w:cs="Times New Roman"/>
          <w:b/>
          <w:sz w:val="24"/>
          <w:szCs w:val="24"/>
          <w:lang w:eastAsia="it-IT"/>
        </w:rPr>
      </w:pPr>
    </w:p>
    <w:p w:rsidR="003744E5" w:rsidRPr="003744E5" w:rsidRDefault="003744E5" w:rsidP="003744E5">
      <w:pPr>
        <w:spacing w:after="0" w:line="240" w:lineRule="auto"/>
        <w:rPr>
          <w:rFonts w:ascii="Times New Roman" w:hAnsi="Times New Roman" w:cs="Times New Roman"/>
          <w:sz w:val="24"/>
          <w:szCs w:val="24"/>
          <w:lang w:eastAsia="it-IT"/>
        </w:rPr>
      </w:pPr>
      <w:r w:rsidRPr="003744E5">
        <w:rPr>
          <w:rFonts w:ascii="Times New Roman" w:hAnsi="Times New Roman" w:cs="Times New Roman"/>
          <w:b/>
          <w:sz w:val="24"/>
          <w:szCs w:val="24"/>
          <w:lang w:eastAsia="it-IT"/>
        </w:rPr>
        <w:t xml:space="preserve">(*) </w:t>
      </w:r>
      <w:proofErr w:type="spellStart"/>
      <w:r w:rsidRPr="003744E5">
        <w:rPr>
          <w:rFonts w:ascii="Times New Roman" w:hAnsi="Times New Roman" w:cs="Times New Roman"/>
          <w:b/>
          <w:i/>
          <w:sz w:val="24"/>
          <w:szCs w:val="24"/>
          <w:lang w:eastAsia="it-IT"/>
        </w:rPr>
        <w:t>Tier</w:t>
      </w:r>
      <w:proofErr w:type="spellEnd"/>
      <w:r w:rsidRPr="003744E5">
        <w:rPr>
          <w:rFonts w:ascii="Times New Roman" w:hAnsi="Times New Roman" w:cs="Times New Roman"/>
          <w:b/>
          <w:i/>
          <w:sz w:val="24"/>
          <w:szCs w:val="24"/>
          <w:lang w:eastAsia="it-IT"/>
        </w:rPr>
        <w:t xml:space="preserve"> 1</w:t>
      </w:r>
      <w:r w:rsidRPr="003744E5">
        <w:rPr>
          <w:rFonts w:ascii="Times New Roman" w:hAnsi="Times New Roman" w:cs="Times New Roman"/>
          <w:sz w:val="24"/>
          <w:szCs w:val="24"/>
          <w:lang w:eastAsia="it-IT"/>
        </w:rPr>
        <w:t xml:space="preserve">: </w:t>
      </w:r>
      <w:hyperlink r:id="rId6" w:tooltip="Utile" w:history="1">
        <w:r w:rsidRPr="003744E5">
          <w:rPr>
            <w:rFonts w:ascii="Times New Roman" w:hAnsi="Times New Roman" w:cs="Times New Roman"/>
            <w:sz w:val="24"/>
            <w:szCs w:val="24"/>
            <w:lang w:eastAsia="it-IT"/>
          </w:rPr>
          <w:t>Utili</w:t>
        </w:r>
      </w:hyperlink>
      <w:r w:rsidRPr="003744E5">
        <w:rPr>
          <w:rFonts w:ascii="Times New Roman" w:hAnsi="Times New Roman" w:cs="Times New Roman"/>
          <w:sz w:val="24"/>
          <w:szCs w:val="24"/>
          <w:lang w:eastAsia="it-IT"/>
        </w:rPr>
        <w:t> non distribuiti e Riserve, al netto dell'</w:t>
      </w:r>
      <w:hyperlink r:id="rId7" w:tooltip="Avviamento" w:history="1">
        <w:r w:rsidRPr="003744E5">
          <w:rPr>
            <w:rFonts w:ascii="Times New Roman" w:hAnsi="Times New Roman" w:cs="Times New Roman"/>
            <w:sz w:val="24"/>
            <w:szCs w:val="24"/>
            <w:lang w:eastAsia="it-IT"/>
          </w:rPr>
          <w:t>avviamento</w:t>
        </w:r>
      </w:hyperlink>
      <w:r w:rsidRPr="003744E5">
        <w:rPr>
          <w:rFonts w:ascii="Times New Roman" w:hAnsi="Times New Roman" w:cs="Times New Roman"/>
          <w:sz w:val="24"/>
          <w:szCs w:val="24"/>
          <w:lang w:eastAsia="it-IT"/>
        </w:rPr>
        <w:t xml:space="preserve"> + </w:t>
      </w:r>
      <w:hyperlink r:id="rId8" w:tooltip="Azioni" w:history="1">
        <w:r w:rsidRPr="003744E5">
          <w:rPr>
            <w:rFonts w:ascii="Times New Roman" w:hAnsi="Times New Roman" w:cs="Times New Roman"/>
            <w:sz w:val="24"/>
            <w:szCs w:val="24"/>
            <w:lang w:eastAsia="it-IT"/>
          </w:rPr>
          <w:t>Azioni</w:t>
        </w:r>
      </w:hyperlink>
      <w:r w:rsidRPr="003744E5">
        <w:rPr>
          <w:rFonts w:ascii="Times New Roman" w:hAnsi="Times New Roman" w:cs="Times New Roman"/>
          <w:sz w:val="24"/>
          <w:szCs w:val="24"/>
          <w:lang w:eastAsia="it-IT"/>
        </w:rPr>
        <w:t xml:space="preserve"> ordinarie ( quelle di risparmio escluse a partire dal 2010, non assicurano, infatti, il pieno assorbimento delle perdite, in quanto prevedono vantaggi in fase di liquidazione e nella maggior parte dei casi sono caratterizzate da meccanismi di remunerazione privilegiati e commisurati al valore nominale dello strumento), + </w:t>
      </w:r>
      <w:proofErr w:type="spellStart"/>
      <w:r w:rsidRPr="003744E5">
        <w:rPr>
          <w:rFonts w:ascii="Times New Roman" w:hAnsi="Times New Roman" w:cs="Times New Roman"/>
          <w:sz w:val="24"/>
          <w:szCs w:val="24"/>
          <w:lang w:eastAsia="it-IT"/>
        </w:rPr>
        <w:t>Preferred</w:t>
      </w:r>
      <w:proofErr w:type="spellEnd"/>
      <w:r w:rsidRPr="003744E5">
        <w:rPr>
          <w:rFonts w:ascii="Times New Roman" w:hAnsi="Times New Roman" w:cs="Times New Roman"/>
          <w:sz w:val="24"/>
          <w:szCs w:val="24"/>
          <w:lang w:eastAsia="it-IT"/>
        </w:rPr>
        <w:t xml:space="preserve"> Securities: </w:t>
      </w:r>
      <w:hyperlink r:id="rId9" w:tooltip="Obbligazione (finanza)" w:history="1">
        <w:r w:rsidRPr="003744E5">
          <w:rPr>
            <w:rFonts w:ascii="Times New Roman" w:hAnsi="Times New Roman" w:cs="Times New Roman"/>
            <w:sz w:val="24"/>
            <w:szCs w:val="24"/>
            <w:lang w:eastAsia="it-IT"/>
          </w:rPr>
          <w:t>obbligazioni</w:t>
        </w:r>
      </w:hyperlink>
      <w:r w:rsidRPr="003744E5">
        <w:rPr>
          <w:rFonts w:ascii="Times New Roman" w:hAnsi="Times New Roman" w:cs="Times New Roman"/>
          <w:sz w:val="24"/>
          <w:szCs w:val="24"/>
          <w:lang w:eastAsia="it-IT"/>
        </w:rPr>
        <w:t> perpetue richiamabili non prima di 10 anni, il cui pagamento può essere sospeso in presenza di andamenti negativi della gestione e privilegiate solo rispetto alle azioni ordinarie e di risparmio.</w:t>
      </w:r>
    </w:p>
    <w:p w:rsidR="003744E5" w:rsidRDefault="003744E5" w:rsidP="003744E5">
      <w:pPr>
        <w:spacing w:after="0" w:line="240" w:lineRule="auto"/>
        <w:rPr>
          <w:rFonts w:ascii="Times New Roman" w:hAnsi="Times New Roman" w:cs="Times New Roman"/>
          <w:sz w:val="24"/>
          <w:szCs w:val="24"/>
          <w:lang w:eastAsia="it-IT"/>
        </w:rPr>
      </w:pPr>
      <w:r w:rsidRPr="003744E5">
        <w:rPr>
          <w:rFonts w:ascii="Times New Roman" w:hAnsi="Times New Roman" w:cs="Times New Roman"/>
          <w:b/>
          <w:i/>
          <w:sz w:val="24"/>
          <w:szCs w:val="24"/>
          <w:lang w:eastAsia="it-IT"/>
        </w:rPr>
        <w:t xml:space="preserve">Core </w:t>
      </w:r>
      <w:proofErr w:type="spellStart"/>
      <w:r w:rsidRPr="003744E5">
        <w:rPr>
          <w:rFonts w:ascii="Times New Roman" w:hAnsi="Times New Roman" w:cs="Times New Roman"/>
          <w:b/>
          <w:i/>
          <w:sz w:val="24"/>
          <w:szCs w:val="24"/>
          <w:lang w:eastAsia="it-IT"/>
        </w:rPr>
        <w:t>Tier</w:t>
      </w:r>
      <w:proofErr w:type="spellEnd"/>
      <w:r w:rsidRPr="003744E5">
        <w:rPr>
          <w:rFonts w:ascii="Times New Roman" w:hAnsi="Times New Roman" w:cs="Times New Roman"/>
          <w:b/>
          <w:i/>
          <w:sz w:val="24"/>
          <w:szCs w:val="24"/>
          <w:lang w:eastAsia="it-IT"/>
        </w:rPr>
        <w:t xml:space="preserve"> 1</w:t>
      </w:r>
      <w:r w:rsidRPr="003744E5">
        <w:rPr>
          <w:rFonts w:ascii="Times New Roman" w:hAnsi="Times New Roman" w:cs="Times New Roman"/>
          <w:sz w:val="24"/>
          <w:szCs w:val="24"/>
          <w:lang w:eastAsia="it-IT"/>
        </w:rPr>
        <w:t>: Si calcola rapportando il patrimonio di base della banca al totale delle attività ponderate per il rischio. Il patrimonio di base si considera al netto dell’avviamento, nonché delle azioni proprie possedute,</w:t>
      </w:r>
      <w:r w:rsidR="003F1F77">
        <w:rPr>
          <w:rFonts w:ascii="Times New Roman" w:hAnsi="Times New Roman" w:cs="Times New Roman"/>
          <w:sz w:val="24"/>
          <w:szCs w:val="24"/>
          <w:lang w:eastAsia="it-IT"/>
        </w:rPr>
        <w:t xml:space="preserve"> </w:t>
      </w:r>
      <w:r w:rsidRPr="003744E5">
        <w:rPr>
          <w:rFonts w:ascii="Times New Roman" w:hAnsi="Times New Roman" w:cs="Times New Roman"/>
          <w:sz w:val="24"/>
          <w:szCs w:val="24"/>
          <w:lang w:eastAsia="it-IT"/>
        </w:rPr>
        <w:t>immobilizzazioni immateriali e perdite registrate negli esercizi precedenti.</w:t>
      </w:r>
    </w:p>
    <w:p w:rsidR="003373A6" w:rsidRPr="003373A6" w:rsidRDefault="00B42E1C" w:rsidP="003373A6">
      <w:pPr>
        <w:spacing w:after="0" w:line="240" w:lineRule="auto"/>
        <w:rPr>
          <w:rFonts w:ascii="Times New Roman" w:hAnsi="Times New Roman" w:cs="Times New Roman"/>
          <w:sz w:val="24"/>
          <w:szCs w:val="24"/>
          <w:lang w:eastAsia="it-IT"/>
        </w:rPr>
      </w:pPr>
      <w:r w:rsidRPr="003F1F77">
        <w:rPr>
          <w:rFonts w:ascii="Times New Roman" w:hAnsi="Times New Roman" w:cs="Times New Roman"/>
          <w:b/>
          <w:i/>
          <w:sz w:val="24"/>
          <w:szCs w:val="24"/>
          <w:lang w:eastAsia="it-IT"/>
        </w:rPr>
        <w:t>N</w:t>
      </w:r>
      <w:r w:rsidR="003373A6" w:rsidRPr="003373A6">
        <w:rPr>
          <w:rFonts w:ascii="Times New Roman" w:hAnsi="Times New Roman" w:cs="Times New Roman"/>
          <w:b/>
          <w:i/>
          <w:sz w:val="24"/>
          <w:szCs w:val="24"/>
          <w:lang w:eastAsia="it-IT"/>
        </w:rPr>
        <w:t xml:space="preserve">on </w:t>
      </w:r>
      <w:proofErr w:type="spellStart"/>
      <w:r w:rsidRPr="003F1F77">
        <w:rPr>
          <w:rFonts w:ascii="Times New Roman" w:hAnsi="Times New Roman" w:cs="Times New Roman"/>
          <w:b/>
          <w:i/>
          <w:sz w:val="24"/>
          <w:szCs w:val="24"/>
          <w:lang w:eastAsia="it-IT"/>
        </w:rPr>
        <w:t>P</w:t>
      </w:r>
      <w:r w:rsidR="003373A6" w:rsidRPr="003373A6">
        <w:rPr>
          <w:rFonts w:ascii="Times New Roman" w:hAnsi="Times New Roman" w:cs="Times New Roman"/>
          <w:b/>
          <w:i/>
          <w:sz w:val="24"/>
          <w:szCs w:val="24"/>
          <w:lang w:eastAsia="it-IT"/>
        </w:rPr>
        <w:t>erforming</w:t>
      </w:r>
      <w:proofErr w:type="spellEnd"/>
      <w:r w:rsidR="003373A6" w:rsidRPr="003373A6">
        <w:rPr>
          <w:rFonts w:ascii="Times New Roman" w:hAnsi="Times New Roman" w:cs="Times New Roman"/>
          <w:b/>
          <w:i/>
          <w:sz w:val="24"/>
          <w:szCs w:val="24"/>
          <w:lang w:eastAsia="it-IT"/>
        </w:rPr>
        <w:t xml:space="preserve"> </w:t>
      </w:r>
      <w:proofErr w:type="spellStart"/>
      <w:r w:rsidRPr="003F1F77">
        <w:rPr>
          <w:rFonts w:ascii="Times New Roman" w:hAnsi="Times New Roman" w:cs="Times New Roman"/>
          <w:b/>
          <w:i/>
          <w:sz w:val="24"/>
          <w:szCs w:val="24"/>
          <w:lang w:eastAsia="it-IT"/>
        </w:rPr>
        <w:t>L</w:t>
      </w:r>
      <w:r w:rsidR="003373A6" w:rsidRPr="003373A6">
        <w:rPr>
          <w:rFonts w:ascii="Times New Roman" w:hAnsi="Times New Roman" w:cs="Times New Roman"/>
          <w:b/>
          <w:i/>
          <w:sz w:val="24"/>
          <w:szCs w:val="24"/>
          <w:lang w:eastAsia="it-IT"/>
        </w:rPr>
        <w:t>oans</w:t>
      </w:r>
      <w:proofErr w:type="spellEnd"/>
      <w:r w:rsidR="003373A6" w:rsidRPr="003373A6">
        <w:rPr>
          <w:rFonts w:ascii="Times New Roman" w:hAnsi="Times New Roman" w:cs="Times New Roman"/>
          <w:sz w:val="24"/>
          <w:szCs w:val="24"/>
          <w:lang w:eastAsia="it-IT"/>
        </w:rPr>
        <w:t xml:space="preserve"> (prestiti non performanti) sono attività che non riescono più a ripagare il capitale e gli interessi dovuti ai creditori. Si tratta in pratica di crediti per i quali la riscossione è incerta sia in termini di rispetto della scadenza che per ammontare dell’esposizione. I non </w:t>
      </w:r>
      <w:proofErr w:type="spellStart"/>
      <w:r w:rsidR="003373A6" w:rsidRPr="003373A6">
        <w:rPr>
          <w:rFonts w:ascii="Times New Roman" w:hAnsi="Times New Roman" w:cs="Times New Roman"/>
          <w:sz w:val="24"/>
          <w:szCs w:val="24"/>
          <w:lang w:eastAsia="it-IT"/>
        </w:rPr>
        <w:t>performing</w:t>
      </w:r>
      <w:proofErr w:type="spellEnd"/>
      <w:r w:rsidR="003373A6" w:rsidRPr="003373A6">
        <w:rPr>
          <w:rFonts w:ascii="Times New Roman" w:hAnsi="Times New Roman" w:cs="Times New Roman"/>
          <w:sz w:val="24"/>
          <w:szCs w:val="24"/>
          <w:lang w:eastAsia="it-IT"/>
        </w:rPr>
        <w:t xml:space="preserve"> </w:t>
      </w:r>
      <w:proofErr w:type="spellStart"/>
      <w:r w:rsidR="003373A6" w:rsidRPr="003373A6">
        <w:rPr>
          <w:rFonts w:ascii="Times New Roman" w:hAnsi="Times New Roman" w:cs="Times New Roman"/>
          <w:sz w:val="24"/>
          <w:szCs w:val="24"/>
          <w:lang w:eastAsia="it-IT"/>
        </w:rPr>
        <w:t>loans</w:t>
      </w:r>
      <w:proofErr w:type="spellEnd"/>
      <w:r w:rsidR="003373A6" w:rsidRPr="003373A6">
        <w:rPr>
          <w:rFonts w:ascii="Times New Roman" w:hAnsi="Times New Roman" w:cs="Times New Roman"/>
          <w:sz w:val="24"/>
          <w:szCs w:val="24"/>
          <w:lang w:eastAsia="it-IT"/>
        </w:rPr>
        <w:t xml:space="preserve"> nel linguaggio bancario sono chiamati anche crediti deteriorati e si distinguono in varie categorie fra le quali le più importanti sono gli incagli e le sofferenze.</w:t>
      </w:r>
    </w:p>
    <w:p w:rsidR="007C1AD8" w:rsidRDefault="00B42E1C" w:rsidP="00B42E1C">
      <w:pPr>
        <w:spacing w:after="0" w:line="240" w:lineRule="auto"/>
        <w:rPr>
          <w:rFonts w:ascii="Times New Roman" w:hAnsi="Times New Roman" w:cs="Times New Roman"/>
          <w:sz w:val="24"/>
          <w:szCs w:val="24"/>
          <w:lang w:eastAsia="it-IT"/>
        </w:rPr>
      </w:pPr>
      <w:proofErr w:type="spellStart"/>
      <w:r w:rsidRPr="003F1F77">
        <w:rPr>
          <w:rFonts w:ascii="Times New Roman" w:hAnsi="Times New Roman" w:cs="Times New Roman"/>
          <w:b/>
          <w:i/>
          <w:sz w:val="24"/>
          <w:szCs w:val="24"/>
          <w:lang w:eastAsia="it-IT"/>
        </w:rPr>
        <w:t>Coverage</w:t>
      </w:r>
      <w:proofErr w:type="spellEnd"/>
      <w:r w:rsidRPr="003F1F77">
        <w:rPr>
          <w:rFonts w:ascii="Times New Roman" w:hAnsi="Times New Roman" w:cs="Times New Roman"/>
          <w:b/>
          <w:i/>
          <w:sz w:val="24"/>
          <w:szCs w:val="24"/>
          <w:lang w:eastAsia="it-IT"/>
        </w:rPr>
        <w:t xml:space="preserve"> Ratio</w:t>
      </w:r>
      <w:r w:rsidRPr="00B42E1C">
        <w:rPr>
          <w:rFonts w:ascii="Times New Roman" w:hAnsi="Times New Roman" w:cs="Times New Roman"/>
          <w:sz w:val="24"/>
          <w:szCs w:val="24"/>
          <w:lang w:eastAsia="it-IT"/>
        </w:rPr>
        <w:t xml:space="preserve">: rapporto di copertura (in contabilità, l' indice delle entrate destinate a coprire debiti specifici in rapporto alla somma degli obblighi finanziari di </w:t>
      </w:r>
      <w:r>
        <w:rPr>
          <w:rFonts w:ascii="Times New Roman" w:hAnsi="Times New Roman" w:cs="Times New Roman"/>
          <w:sz w:val="24"/>
          <w:szCs w:val="24"/>
          <w:lang w:eastAsia="it-IT"/>
        </w:rPr>
        <w:t xml:space="preserve">una banca o </w:t>
      </w:r>
      <w:r w:rsidRPr="00B42E1C">
        <w:rPr>
          <w:rFonts w:ascii="Times New Roman" w:hAnsi="Times New Roman" w:cs="Times New Roman"/>
          <w:sz w:val="24"/>
          <w:szCs w:val="24"/>
          <w:lang w:eastAsia="it-IT"/>
        </w:rPr>
        <w:t xml:space="preserve">un' </w:t>
      </w:r>
      <w:r>
        <w:rPr>
          <w:rFonts w:ascii="Times New Roman" w:hAnsi="Times New Roman" w:cs="Times New Roman"/>
          <w:sz w:val="24"/>
          <w:szCs w:val="24"/>
          <w:lang w:eastAsia="it-IT"/>
        </w:rPr>
        <w:t>impresa</w:t>
      </w:r>
      <w:r w:rsidRPr="00B42E1C">
        <w:rPr>
          <w:rFonts w:ascii="Times New Roman" w:hAnsi="Times New Roman" w:cs="Times New Roman"/>
          <w:sz w:val="24"/>
          <w:szCs w:val="24"/>
          <w:lang w:eastAsia="it-IT"/>
        </w:rPr>
        <w:t>)</w:t>
      </w:r>
      <w:r w:rsidR="007C1AD8">
        <w:rPr>
          <w:rFonts w:ascii="Times New Roman" w:hAnsi="Times New Roman" w:cs="Times New Roman"/>
          <w:sz w:val="24"/>
          <w:szCs w:val="24"/>
          <w:lang w:eastAsia="it-IT"/>
        </w:rPr>
        <w:t>.</w:t>
      </w:r>
    </w:p>
    <w:p w:rsidR="007C1AD8" w:rsidRPr="007C1AD8" w:rsidRDefault="007C1AD8" w:rsidP="007C1AD8">
      <w:pPr>
        <w:rPr>
          <w:rFonts w:ascii="Calibri" w:hAnsi="Calibri"/>
          <w:b/>
          <w:color w:val="1F497D"/>
        </w:rPr>
      </w:pPr>
      <w:r w:rsidRPr="007C1AD8">
        <w:rPr>
          <w:rFonts w:ascii="Calibri" w:hAnsi="Calibri"/>
          <w:b/>
          <w:color w:val="1F497D"/>
        </w:rPr>
        <w:lastRenderedPageBreak/>
        <w:t xml:space="preserve">(*) </w:t>
      </w:r>
      <w:r w:rsidRPr="007C1AD8">
        <w:rPr>
          <w:rFonts w:ascii="Calibri" w:hAnsi="Calibri"/>
          <w:b/>
          <w:color w:val="1F497D"/>
        </w:rPr>
        <w:t xml:space="preserve">SOFFERENZE ED INCAGLI DELLE BANCHE ITALIANE. ADUSBEF NON ADERISCE AI DIKTAT DELL’UBS,MA PUBBLICA LA SUA POSIZIONE. </w:t>
      </w:r>
    </w:p>
    <w:p w:rsidR="007C1AD8" w:rsidRPr="007C1AD8" w:rsidRDefault="007C1AD8" w:rsidP="007C1AD8">
      <w:pPr>
        <w:rPr>
          <w:rFonts w:ascii="Calibri" w:hAnsi="Calibri"/>
          <w:b/>
          <w:color w:val="1F497D"/>
        </w:rPr>
      </w:pPr>
      <w:r w:rsidRPr="007C1AD8">
        <w:rPr>
          <w:rFonts w:ascii="Calibri" w:hAnsi="Calibri"/>
          <w:b/>
          <w:color w:val="1F497D"/>
        </w:rPr>
        <w:t>In un approfondito studio su sofferenze, impieghi, prestiti ed incagli, pubblicato dall’Adusbef e diramato alle agenzie di stampa il 14.12.2013 (sintesi lancio Ansa), si rilevava da articoli pubblicati sulla rivista ‘Formiche’,</w:t>
      </w:r>
      <w:r w:rsidRPr="007C1AD8">
        <w:rPr>
          <w:rFonts w:ascii="Calibri" w:hAnsi="Calibri"/>
          <w:b/>
          <w:color w:val="1F497D"/>
        </w:rPr>
        <w:t xml:space="preserve"> </w:t>
      </w:r>
      <w:proofErr w:type="spellStart"/>
      <w:r w:rsidRPr="007C1AD8">
        <w:rPr>
          <w:rFonts w:ascii="Calibri" w:hAnsi="Calibri"/>
          <w:b/>
          <w:color w:val="1F497D"/>
        </w:rPr>
        <w:t>Dagospia</w:t>
      </w:r>
      <w:proofErr w:type="spellEnd"/>
      <w:r w:rsidRPr="007C1AD8">
        <w:rPr>
          <w:rFonts w:ascii="Calibri" w:hAnsi="Calibri"/>
          <w:b/>
          <w:color w:val="1F497D"/>
        </w:rPr>
        <w:t xml:space="preserve"> ed altri siti on line, che la banca più incagliata è Unicredit, seguita da Intesa, </w:t>
      </w:r>
      <w:proofErr w:type="spellStart"/>
      <w:r w:rsidRPr="007C1AD8">
        <w:rPr>
          <w:rFonts w:ascii="Calibri" w:hAnsi="Calibri"/>
          <w:b/>
          <w:color w:val="1F497D"/>
        </w:rPr>
        <w:t>Mps</w:t>
      </w:r>
      <w:proofErr w:type="spellEnd"/>
      <w:r w:rsidRPr="007C1AD8">
        <w:rPr>
          <w:rFonts w:ascii="Calibri" w:hAnsi="Calibri"/>
          <w:b/>
          <w:color w:val="1F497D"/>
        </w:rPr>
        <w:t xml:space="preserve">, Banco Popolare, </w:t>
      </w:r>
      <w:proofErr w:type="spellStart"/>
      <w:r w:rsidRPr="007C1AD8">
        <w:rPr>
          <w:rFonts w:ascii="Calibri" w:hAnsi="Calibri"/>
          <w:b/>
          <w:color w:val="1F497D"/>
        </w:rPr>
        <w:t>Ubi</w:t>
      </w:r>
      <w:proofErr w:type="spellEnd"/>
      <w:r w:rsidRPr="007C1AD8">
        <w:rPr>
          <w:rFonts w:ascii="Calibri" w:hAnsi="Calibri"/>
          <w:b/>
          <w:color w:val="1F497D"/>
        </w:rPr>
        <w:t xml:space="preserve"> Banca.</w:t>
      </w:r>
    </w:p>
    <w:p w:rsidR="007C1AD8" w:rsidRDefault="007C1AD8" w:rsidP="007C1AD8">
      <w:pPr>
        <w:jc w:val="left"/>
        <w:rPr>
          <w:rFonts w:ascii="Arial" w:hAnsi="Arial" w:cs="Arial"/>
          <w:sz w:val="20"/>
          <w:szCs w:val="20"/>
        </w:rPr>
      </w:pPr>
      <w:r>
        <w:rPr>
          <w:rFonts w:ascii="Arial" w:hAnsi="Arial" w:cs="Arial"/>
          <w:sz w:val="20"/>
          <w:szCs w:val="20"/>
        </w:rPr>
        <w:t>O:</w:t>
      </w:r>
      <w:r>
        <w:rPr>
          <w:rFonts w:ascii="Arial" w:hAnsi="Arial" w:cs="Arial"/>
          <w:sz w:val="20"/>
          <w:szCs w:val="20"/>
        </w:rPr>
        <w:t xml:space="preserve"> </w:t>
      </w:r>
      <w:r>
        <w:rPr>
          <w:rFonts w:ascii="Arial" w:hAnsi="Arial" w:cs="Arial"/>
          <w:sz w:val="20"/>
          <w:szCs w:val="20"/>
        </w:rPr>
        <w:t>Banche</w:t>
      </w:r>
      <w:r>
        <w:rPr>
          <w:rFonts w:ascii="Arial" w:hAnsi="Arial" w:cs="Arial"/>
          <w:sz w:val="20"/>
          <w:szCs w:val="20"/>
        </w:rPr>
        <w:br/>
        <w:t>2013-12-14 12:59</w:t>
      </w:r>
      <w:r>
        <w:rPr>
          <w:rFonts w:ascii="Arial" w:hAnsi="Arial" w:cs="Arial"/>
          <w:sz w:val="20"/>
          <w:szCs w:val="20"/>
        </w:rPr>
        <w:br/>
        <w:t xml:space="preserve">Banche: consumatori, boom prestiti incagliati, a 243 mld </w:t>
      </w:r>
      <w:r>
        <w:rPr>
          <w:rFonts w:ascii="Arial" w:hAnsi="Arial" w:cs="Arial"/>
          <w:sz w:val="20"/>
          <w:szCs w:val="20"/>
        </w:rPr>
        <w:br/>
        <w:t xml:space="preserve">Studio </w:t>
      </w:r>
      <w:proofErr w:type="spellStart"/>
      <w:r>
        <w:rPr>
          <w:rFonts w:ascii="Arial" w:hAnsi="Arial" w:cs="Arial"/>
          <w:sz w:val="20"/>
          <w:szCs w:val="20"/>
        </w:rPr>
        <w:t>Ubs</w:t>
      </w:r>
      <w:proofErr w:type="spellEnd"/>
      <w:r>
        <w:rPr>
          <w:rFonts w:ascii="Arial" w:hAnsi="Arial" w:cs="Arial"/>
          <w:sz w:val="20"/>
          <w:szCs w:val="20"/>
        </w:rPr>
        <w:t xml:space="preserve">, Unicredit e Intesa al top in Italia </w:t>
      </w:r>
      <w:r>
        <w:rPr>
          <w:rFonts w:ascii="Arial" w:hAnsi="Arial" w:cs="Arial"/>
          <w:sz w:val="20"/>
          <w:szCs w:val="20"/>
        </w:rPr>
        <w:br/>
        <w:t xml:space="preserve">ROMA </w:t>
      </w:r>
      <w:r>
        <w:rPr>
          <w:rFonts w:ascii="Arial" w:hAnsi="Arial" w:cs="Arial"/>
          <w:sz w:val="20"/>
          <w:szCs w:val="20"/>
        </w:rPr>
        <w:br/>
        <w:t xml:space="preserve">(ANSA) - ROMA, 14 DIC - Con un ammontare di 243 miliardi di euro e con uno dei peggiori rapporti di copertura del rischio, pari ad una media del 38,4%, l'Italia è uno dei maggiori mercati europei per quanto riguarda i prestiti incagliati. E' quanto emerge da uno studio di </w:t>
      </w:r>
      <w:proofErr w:type="spellStart"/>
      <w:r>
        <w:rPr>
          <w:rFonts w:ascii="Arial" w:hAnsi="Arial" w:cs="Arial"/>
          <w:sz w:val="20"/>
          <w:szCs w:val="20"/>
        </w:rPr>
        <w:t>Ubs</w:t>
      </w:r>
      <w:proofErr w:type="spellEnd"/>
      <w:r>
        <w:rPr>
          <w:rFonts w:ascii="Arial" w:hAnsi="Arial" w:cs="Arial"/>
          <w:sz w:val="20"/>
          <w:szCs w:val="20"/>
        </w:rPr>
        <w:t xml:space="preserve">, citato da Adusbef-Federconsumatori, e secondo cui la banca ''più incagliata'' è Unicredit con 55,9 miliardi, pari al 23% del totale, seguita da Banca Intesa con 48,6 miliardi (20%), </w:t>
      </w:r>
      <w:proofErr w:type="spellStart"/>
      <w:r>
        <w:rPr>
          <w:rFonts w:ascii="Arial" w:hAnsi="Arial" w:cs="Arial"/>
          <w:sz w:val="20"/>
          <w:szCs w:val="20"/>
        </w:rPr>
        <w:t>Mps</w:t>
      </w:r>
      <w:proofErr w:type="spellEnd"/>
      <w:r>
        <w:rPr>
          <w:rFonts w:ascii="Arial" w:hAnsi="Arial" w:cs="Arial"/>
          <w:sz w:val="20"/>
          <w:szCs w:val="20"/>
        </w:rPr>
        <w:t xml:space="preserve"> con 29,3 miliardi (12%), Banco Popolare con 17 miliardi (7%), </w:t>
      </w:r>
      <w:proofErr w:type="spellStart"/>
      <w:r>
        <w:rPr>
          <w:rFonts w:ascii="Arial" w:hAnsi="Arial" w:cs="Arial"/>
          <w:sz w:val="20"/>
          <w:szCs w:val="20"/>
        </w:rPr>
        <w:t>Ubi</w:t>
      </w:r>
      <w:proofErr w:type="spellEnd"/>
      <w:r>
        <w:rPr>
          <w:rFonts w:ascii="Arial" w:hAnsi="Arial" w:cs="Arial"/>
          <w:sz w:val="20"/>
          <w:szCs w:val="20"/>
        </w:rPr>
        <w:t xml:space="preserve"> Banca con 12,2 miliardi (5%).(ANSA). </w:t>
      </w:r>
    </w:p>
    <w:p w:rsidR="007C1AD8" w:rsidRDefault="007C1AD8" w:rsidP="007C1AD8">
      <w:pPr>
        <w:rPr>
          <w:color w:val="1F497D"/>
        </w:rPr>
      </w:pPr>
    </w:p>
    <w:p w:rsidR="007C1AD8" w:rsidRPr="007C1AD8" w:rsidRDefault="007C1AD8" w:rsidP="007C1AD8">
      <w:pPr>
        <w:rPr>
          <w:b/>
          <w:color w:val="1F497D"/>
        </w:rPr>
      </w:pPr>
      <w:proofErr w:type="spellStart"/>
      <w:r w:rsidRPr="007C1AD8">
        <w:rPr>
          <w:b/>
          <w:color w:val="1F497D"/>
        </w:rPr>
        <w:t>Ubs</w:t>
      </w:r>
      <w:proofErr w:type="spellEnd"/>
      <w:r w:rsidRPr="007C1AD8">
        <w:rPr>
          <w:b/>
          <w:color w:val="1F497D"/>
        </w:rPr>
        <w:t xml:space="preserve">, con il lancio pubblicato subito dopo dall’Ansa, precisava che lo studio citato da Adusbef e Federconsumatori in merito ai prestiti incagliati delle banche </w:t>
      </w:r>
      <w:proofErr w:type="spellStart"/>
      <w:r w:rsidRPr="007C1AD8">
        <w:rPr>
          <w:b/>
          <w:color w:val="1F497D"/>
        </w:rPr>
        <w:t>italiane:''non</w:t>
      </w:r>
      <w:proofErr w:type="spellEnd"/>
      <w:r w:rsidRPr="007C1AD8">
        <w:rPr>
          <w:b/>
          <w:color w:val="1F497D"/>
        </w:rPr>
        <w:t xml:space="preserve"> esprime l'opinione ufficiale di </w:t>
      </w:r>
      <w:proofErr w:type="spellStart"/>
      <w:r w:rsidRPr="007C1AD8">
        <w:rPr>
          <w:b/>
          <w:color w:val="1F497D"/>
        </w:rPr>
        <w:t>Ubs</w:t>
      </w:r>
      <w:proofErr w:type="spellEnd"/>
      <w:r w:rsidRPr="007C1AD8">
        <w:rPr>
          <w:b/>
          <w:color w:val="1F497D"/>
        </w:rPr>
        <w:t>''.</w:t>
      </w:r>
    </w:p>
    <w:p w:rsidR="007C1AD8" w:rsidRDefault="007C1AD8" w:rsidP="007C1AD8">
      <w:pPr>
        <w:rPr>
          <w:rFonts w:ascii="Times New Roman" w:hAnsi="Times New Roman" w:cs="Times New Roman"/>
          <w:sz w:val="24"/>
          <w:szCs w:val="24"/>
        </w:rPr>
      </w:pPr>
    </w:p>
    <w:p w:rsidR="007C1AD8" w:rsidRDefault="007C1AD8" w:rsidP="007C1AD8">
      <w:pPr>
        <w:jc w:val="left"/>
        <w:rPr>
          <w:rFonts w:ascii="Arial" w:hAnsi="Arial" w:cs="Arial"/>
          <w:sz w:val="20"/>
          <w:szCs w:val="20"/>
        </w:rPr>
      </w:pPr>
      <w:proofErr w:type="spellStart"/>
      <w:r>
        <w:rPr>
          <w:rFonts w:ascii="Arial" w:hAnsi="Arial" w:cs="Arial"/>
          <w:sz w:val="20"/>
          <w:szCs w:val="20"/>
        </w:rPr>
        <w:t>Banche:Ubs</w:t>
      </w:r>
      <w:proofErr w:type="spellEnd"/>
      <w:r>
        <w:rPr>
          <w:rFonts w:ascii="Arial" w:hAnsi="Arial" w:cs="Arial"/>
          <w:sz w:val="20"/>
          <w:szCs w:val="20"/>
        </w:rPr>
        <w:t xml:space="preserve">, studio citato da consumatori non è nostra veduta </w:t>
      </w:r>
      <w:r>
        <w:rPr>
          <w:rFonts w:ascii="Arial" w:hAnsi="Arial" w:cs="Arial"/>
          <w:sz w:val="20"/>
          <w:szCs w:val="20"/>
        </w:rPr>
        <w:br/>
        <w:t xml:space="preserve">(vedi: Banche: consumatori, boom prestiti....delle 12:59 </w:t>
      </w:r>
      <w:r>
        <w:rPr>
          <w:rFonts w:ascii="Arial" w:hAnsi="Arial" w:cs="Arial"/>
          <w:sz w:val="20"/>
          <w:szCs w:val="20"/>
        </w:rPr>
        <w:br/>
        <w:t xml:space="preserve">ROMA </w:t>
      </w:r>
      <w:r>
        <w:rPr>
          <w:rFonts w:ascii="Arial" w:hAnsi="Arial" w:cs="Arial"/>
          <w:sz w:val="20"/>
          <w:szCs w:val="20"/>
        </w:rPr>
        <w:br/>
        <w:t xml:space="preserve">(ANSA) - ROMA, 14 DIC - 'Lo </w:t>
      </w:r>
      <w:proofErr w:type="spellStart"/>
      <w:r>
        <w:rPr>
          <w:rFonts w:ascii="Arial" w:hAnsi="Arial" w:cs="Arial"/>
          <w:sz w:val="20"/>
          <w:szCs w:val="20"/>
        </w:rPr>
        <w:t>studio'</w:t>
      </w:r>
      <w:proofErr w:type="spellEnd"/>
      <w:r>
        <w:rPr>
          <w:rFonts w:ascii="Arial" w:hAnsi="Arial" w:cs="Arial"/>
          <w:sz w:val="20"/>
          <w:szCs w:val="20"/>
        </w:rPr>
        <w:t xml:space="preserve"> citato da Adusbef-Federconsumatori in merito ai prestiti incagliati delle banche italiane ''non esprime l'opinione ufficiale di </w:t>
      </w:r>
      <w:proofErr w:type="spellStart"/>
      <w:r>
        <w:rPr>
          <w:rFonts w:ascii="Arial" w:hAnsi="Arial" w:cs="Arial"/>
          <w:sz w:val="20"/>
          <w:szCs w:val="20"/>
        </w:rPr>
        <w:t>Ubs</w:t>
      </w:r>
      <w:proofErr w:type="spellEnd"/>
      <w:r>
        <w:rPr>
          <w:rFonts w:ascii="Arial" w:hAnsi="Arial" w:cs="Arial"/>
          <w:sz w:val="20"/>
          <w:szCs w:val="20"/>
        </w:rPr>
        <w:t>''. E' quanto precisa la stessa banca in una nota, sottolineando che ''</w:t>
      </w:r>
      <w:proofErr w:type="spellStart"/>
      <w:r>
        <w:rPr>
          <w:rFonts w:ascii="Arial" w:hAnsi="Arial" w:cs="Arial"/>
          <w:sz w:val="20"/>
          <w:szCs w:val="20"/>
        </w:rPr>
        <w:t>Ubs</w:t>
      </w:r>
      <w:proofErr w:type="spellEnd"/>
      <w:r>
        <w:rPr>
          <w:rFonts w:ascii="Arial" w:hAnsi="Arial" w:cs="Arial"/>
          <w:sz w:val="20"/>
          <w:szCs w:val="20"/>
        </w:rPr>
        <w:t xml:space="preserve"> </w:t>
      </w:r>
      <w:proofErr w:type="spellStart"/>
      <w:r>
        <w:rPr>
          <w:rFonts w:ascii="Arial" w:hAnsi="Arial" w:cs="Arial"/>
          <w:sz w:val="20"/>
          <w:szCs w:val="20"/>
        </w:rPr>
        <w:t>Investment</w:t>
      </w:r>
      <w:proofErr w:type="spellEnd"/>
      <w:r>
        <w:rPr>
          <w:rFonts w:ascii="Arial" w:hAnsi="Arial" w:cs="Arial"/>
          <w:sz w:val="20"/>
          <w:szCs w:val="20"/>
        </w:rPr>
        <w:t xml:space="preserve"> </w:t>
      </w:r>
      <w:proofErr w:type="spellStart"/>
      <w:r>
        <w:rPr>
          <w:rFonts w:ascii="Arial" w:hAnsi="Arial" w:cs="Arial"/>
          <w:sz w:val="20"/>
          <w:szCs w:val="20"/>
        </w:rPr>
        <w:t>Research</w:t>
      </w:r>
      <w:proofErr w:type="spellEnd"/>
      <w:r>
        <w:rPr>
          <w:rFonts w:ascii="Arial" w:hAnsi="Arial" w:cs="Arial"/>
          <w:sz w:val="20"/>
          <w:szCs w:val="20"/>
        </w:rPr>
        <w:t xml:space="preserve"> stabilisce la propria '</w:t>
      </w:r>
      <w:proofErr w:type="spellStart"/>
      <w:r>
        <w:rPr>
          <w:rFonts w:ascii="Arial" w:hAnsi="Arial" w:cs="Arial"/>
          <w:sz w:val="20"/>
          <w:szCs w:val="20"/>
        </w:rPr>
        <w:t>house</w:t>
      </w:r>
      <w:proofErr w:type="spellEnd"/>
      <w:r>
        <w:rPr>
          <w:rFonts w:ascii="Arial" w:hAnsi="Arial" w:cs="Arial"/>
          <w:sz w:val="20"/>
          <w:szCs w:val="20"/>
        </w:rPr>
        <w:t xml:space="preserve"> </w:t>
      </w:r>
      <w:proofErr w:type="spellStart"/>
      <w:r>
        <w:rPr>
          <w:rFonts w:ascii="Arial" w:hAnsi="Arial" w:cs="Arial"/>
          <w:sz w:val="20"/>
          <w:szCs w:val="20"/>
        </w:rPr>
        <w:t>view</w:t>
      </w:r>
      <w:proofErr w:type="spellEnd"/>
      <w:r>
        <w:rPr>
          <w:rFonts w:ascii="Arial" w:hAnsi="Arial" w:cs="Arial"/>
          <w:sz w:val="20"/>
          <w:szCs w:val="20"/>
        </w:rPr>
        <w:t>' nei confronti del mercato esclusivamente attraverso la ricerca regolarmente pubblicata e diffusa agli investitori e al mercato''.(ANSA).</w:t>
      </w:r>
    </w:p>
    <w:p w:rsidR="007C1AD8" w:rsidRDefault="007C1AD8" w:rsidP="007C1AD8">
      <w:pPr>
        <w:rPr>
          <w:rFonts w:ascii="Calibri" w:hAnsi="Calibri"/>
          <w:color w:val="1F497D"/>
        </w:rPr>
      </w:pPr>
    </w:p>
    <w:p w:rsidR="007C1AD8" w:rsidRPr="007C1AD8" w:rsidRDefault="007C1AD8" w:rsidP="007C1AD8">
      <w:pPr>
        <w:rPr>
          <w:rFonts w:ascii="Calibri" w:hAnsi="Calibri" w:cs="Times New Roman"/>
          <w:b/>
          <w:color w:val="1F497D"/>
        </w:rPr>
      </w:pPr>
      <w:r w:rsidRPr="007C1AD8">
        <w:rPr>
          <w:rFonts w:ascii="Calibri" w:hAnsi="Calibri"/>
          <w:b/>
          <w:color w:val="1F497D"/>
        </w:rPr>
        <w:t xml:space="preserve">Nei giorni scorsi, dopo varie telefonate, un portavoce di </w:t>
      </w:r>
      <w:proofErr w:type="spellStart"/>
      <w:r w:rsidRPr="007C1AD8">
        <w:rPr>
          <w:rFonts w:ascii="Calibri" w:hAnsi="Calibri"/>
          <w:b/>
          <w:color w:val="1F497D"/>
        </w:rPr>
        <w:t>Ubs</w:t>
      </w:r>
      <w:proofErr w:type="spellEnd"/>
      <w:r w:rsidRPr="007C1AD8">
        <w:rPr>
          <w:rFonts w:ascii="Calibri" w:hAnsi="Calibri"/>
          <w:b/>
          <w:color w:val="1F497D"/>
        </w:rPr>
        <w:t xml:space="preserve"> ha chiesto di rimuovere dal sito Adusbef lo studio sulle sofferenze ed incagli. Poiché non risulta che </w:t>
      </w:r>
      <w:proofErr w:type="spellStart"/>
      <w:r w:rsidRPr="007C1AD8">
        <w:rPr>
          <w:rFonts w:ascii="Calibri" w:hAnsi="Calibri"/>
          <w:b/>
          <w:color w:val="1F497D"/>
        </w:rPr>
        <w:t>Ubs</w:t>
      </w:r>
      <w:proofErr w:type="spellEnd"/>
      <w:r w:rsidRPr="007C1AD8">
        <w:rPr>
          <w:rFonts w:ascii="Calibri" w:hAnsi="Calibri"/>
          <w:b/>
          <w:color w:val="1F497D"/>
        </w:rPr>
        <w:t xml:space="preserve"> abbia chiesto la rimozione degli articoli pubblicati un mese prima, non accogliamo tale diktat dell’Unione Banche Svizzere, pubblicando – per correttezza dell’informazione e deontologia professionale-  le posizioni espresse  e riportate dal dispaccio Ansa.</w:t>
      </w:r>
      <w:bookmarkStart w:id="0" w:name="_GoBack"/>
      <w:bookmarkEnd w:id="0"/>
    </w:p>
    <w:p w:rsidR="007C1AD8" w:rsidRDefault="007C1AD8" w:rsidP="007C1AD8">
      <w:pPr>
        <w:rPr>
          <w:rFonts w:ascii="Times New Roman" w:hAnsi="Times New Roman"/>
          <w:sz w:val="24"/>
          <w:szCs w:val="24"/>
        </w:rPr>
      </w:pPr>
      <w:r>
        <w:t> </w:t>
      </w:r>
    </w:p>
    <w:p w:rsidR="00C200C3" w:rsidRPr="00B42E1C" w:rsidRDefault="00C200C3" w:rsidP="00B42E1C">
      <w:pPr>
        <w:spacing w:after="0" w:line="240" w:lineRule="auto"/>
        <w:rPr>
          <w:rFonts w:ascii="Times New Roman" w:hAnsi="Times New Roman" w:cs="Times New Roman"/>
          <w:sz w:val="24"/>
          <w:szCs w:val="24"/>
          <w:lang w:eastAsia="it-IT"/>
        </w:rPr>
      </w:pPr>
    </w:p>
    <w:sectPr w:rsidR="00C200C3" w:rsidRPr="00B42E1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2E3"/>
    <w:rsid w:val="00063863"/>
    <w:rsid w:val="00074441"/>
    <w:rsid w:val="00130235"/>
    <w:rsid w:val="001A3C40"/>
    <w:rsid w:val="002E4C34"/>
    <w:rsid w:val="00322014"/>
    <w:rsid w:val="0032701C"/>
    <w:rsid w:val="003373A6"/>
    <w:rsid w:val="00370059"/>
    <w:rsid w:val="003744E5"/>
    <w:rsid w:val="003F1F77"/>
    <w:rsid w:val="00406F1D"/>
    <w:rsid w:val="00424BEE"/>
    <w:rsid w:val="004F322C"/>
    <w:rsid w:val="0050041C"/>
    <w:rsid w:val="005F3BF0"/>
    <w:rsid w:val="005F5A1E"/>
    <w:rsid w:val="00632BCB"/>
    <w:rsid w:val="007339EC"/>
    <w:rsid w:val="00754201"/>
    <w:rsid w:val="007B6622"/>
    <w:rsid w:val="007C1AD8"/>
    <w:rsid w:val="00873879"/>
    <w:rsid w:val="0094402A"/>
    <w:rsid w:val="0098615F"/>
    <w:rsid w:val="00987FE0"/>
    <w:rsid w:val="009B4EA1"/>
    <w:rsid w:val="00A42182"/>
    <w:rsid w:val="00B35AE5"/>
    <w:rsid w:val="00B42E1C"/>
    <w:rsid w:val="00B90F78"/>
    <w:rsid w:val="00BA2E5C"/>
    <w:rsid w:val="00BC3EE5"/>
    <w:rsid w:val="00C200C3"/>
    <w:rsid w:val="00C55771"/>
    <w:rsid w:val="00C76E16"/>
    <w:rsid w:val="00CC22E3"/>
    <w:rsid w:val="00D07FAE"/>
    <w:rsid w:val="00D136AC"/>
    <w:rsid w:val="00D709E1"/>
    <w:rsid w:val="00DB5BBF"/>
    <w:rsid w:val="00E612FB"/>
    <w:rsid w:val="00EE7D98"/>
    <w:rsid w:val="00F43ED9"/>
    <w:rsid w:val="00FE46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22E3"/>
    <w:pPr>
      <w:spacing w:after="200"/>
      <w:ind w:left="0" w:right="0"/>
    </w:pPr>
    <w:rPr>
      <w:rFonts w:cstheme="minorBid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outlineLvl w:val="0"/>
    </w:pPr>
    <w:rPr>
      <w:rFonts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outlineLvl w:val="2"/>
    </w:pPr>
    <w:rPr>
      <w:rFonts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outlineLvl w:val="3"/>
    </w:pPr>
    <w:rPr>
      <w:rFonts w:ascii="Times New Roman" w:hAnsi="Times New Roman" w:cs="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pPr>
    <w:rPr>
      <w:rFonts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pPr>
    <w:rPr>
      <w:rFonts w:cs="Times New Roman"/>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pPr>
    <w:rPr>
      <w:rFonts w:cs="Times New Roman"/>
      <w:sz w:val="24"/>
      <w:szCs w:val="24"/>
      <w:lang w:eastAsia="it-IT"/>
    </w:rPr>
  </w:style>
  <w:style w:type="paragraph" w:styleId="Sommario3">
    <w:name w:val="toc 3"/>
    <w:basedOn w:val="Normale"/>
    <w:autoRedefine/>
    <w:uiPriority w:val="39"/>
    <w:semiHidden/>
    <w:unhideWhenUsed/>
    <w:rsid w:val="00130235"/>
    <w:pPr>
      <w:spacing w:after="0" w:line="240" w:lineRule="auto"/>
      <w:ind w:left="440"/>
    </w:pPr>
    <w:rPr>
      <w:rFonts w:ascii="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pPr>
    <w:rPr>
      <w:rFonts w:cs="Times New Roman"/>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pPr>
    <w:rPr>
      <w:rFonts w:ascii="Calibri" w:hAnsi="Calibri" w:cs="Times New Roman"/>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after="0" w:line="240" w:lineRule="auto"/>
      <w:ind w:left="720"/>
    </w:pPr>
    <w:rPr>
      <w:rFonts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22E3"/>
    <w:pPr>
      <w:spacing w:after="200"/>
      <w:ind w:left="0" w:right="0"/>
    </w:pPr>
    <w:rPr>
      <w:rFonts w:cstheme="minorBid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outlineLvl w:val="0"/>
    </w:pPr>
    <w:rPr>
      <w:rFonts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outlineLvl w:val="2"/>
    </w:pPr>
    <w:rPr>
      <w:rFonts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outlineLvl w:val="3"/>
    </w:pPr>
    <w:rPr>
      <w:rFonts w:ascii="Times New Roman" w:hAnsi="Times New Roman" w:cs="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pPr>
    <w:rPr>
      <w:rFonts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pPr>
    <w:rPr>
      <w:rFonts w:cs="Times New Roman"/>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pPr>
    <w:rPr>
      <w:rFonts w:cs="Times New Roman"/>
      <w:sz w:val="24"/>
      <w:szCs w:val="24"/>
      <w:lang w:eastAsia="it-IT"/>
    </w:rPr>
  </w:style>
  <w:style w:type="paragraph" w:styleId="Sommario3">
    <w:name w:val="toc 3"/>
    <w:basedOn w:val="Normale"/>
    <w:autoRedefine/>
    <w:uiPriority w:val="39"/>
    <w:semiHidden/>
    <w:unhideWhenUsed/>
    <w:rsid w:val="00130235"/>
    <w:pPr>
      <w:spacing w:after="0" w:line="240" w:lineRule="auto"/>
      <w:ind w:left="440"/>
    </w:pPr>
    <w:rPr>
      <w:rFonts w:ascii="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pPr>
    <w:rPr>
      <w:rFonts w:ascii="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pPr>
    <w:rPr>
      <w:rFonts w:cs="Times New Roman"/>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pPr>
    <w:rPr>
      <w:rFonts w:ascii="Calibri" w:hAnsi="Calibri" w:cs="Times New Roman"/>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after="0" w:line="240" w:lineRule="auto"/>
      <w:ind w:left="720"/>
    </w:pPr>
    <w:rPr>
      <w:rFonts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79683">
      <w:bodyDiv w:val="1"/>
      <w:marLeft w:val="0"/>
      <w:marRight w:val="0"/>
      <w:marTop w:val="0"/>
      <w:marBottom w:val="0"/>
      <w:divBdr>
        <w:top w:val="none" w:sz="0" w:space="0" w:color="auto"/>
        <w:left w:val="none" w:sz="0" w:space="0" w:color="auto"/>
        <w:bottom w:val="none" w:sz="0" w:space="0" w:color="auto"/>
        <w:right w:val="none" w:sz="0" w:space="0" w:color="auto"/>
      </w:divBdr>
    </w:div>
    <w:div w:id="945969429">
      <w:bodyDiv w:val="1"/>
      <w:marLeft w:val="0"/>
      <w:marRight w:val="0"/>
      <w:marTop w:val="0"/>
      <w:marBottom w:val="0"/>
      <w:divBdr>
        <w:top w:val="none" w:sz="0" w:space="0" w:color="auto"/>
        <w:left w:val="none" w:sz="0" w:space="0" w:color="auto"/>
        <w:bottom w:val="none" w:sz="0" w:space="0" w:color="auto"/>
        <w:right w:val="none" w:sz="0" w:space="0" w:color="auto"/>
      </w:divBdr>
      <w:divsChild>
        <w:div w:id="2073382912">
          <w:marLeft w:val="0"/>
          <w:marRight w:val="0"/>
          <w:marTop w:val="0"/>
          <w:marBottom w:val="0"/>
          <w:divBdr>
            <w:top w:val="none" w:sz="0" w:space="0" w:color="auto"/>
            <w:left w:val="none" w:sz="0" w:space="0" w:color="auto"/>
            <w:bottom w:val="none" w:sz="0" w:space="0" w:color="auto"/>
            <w:right w:val="none" w:sz="0" w:space="0" w:color="auto"/>
          </w:divBdr>
          <w:divsChild>
            <w:div w:id="1142042484">
              <w:marLeft w:val="0"/>
              <w:marRight w:val="0"/>
              <w:marTop w:val="0"/>
              <w:marBottom w:val="0"/>
              <w:divBdr>
                <w:top w:val="none" w:sz="0" w:space="0" w:color="auto"/>
                <w:left w:val="none" w:sz="0" w:space="0" w:color="auto"/>
                <w:bottom w:val="none" w:sz="0" w:space="0" w:color="auto"/>
                <w:right w:val="none" w:sz="0" w:space="0" w:color="auto"/>
              </w:divBdr>
              <w:divsChild>
                <w:div w:id="1844969614">
                  <w:marLeft w:val="0"/>
                  <w:marRight w:val="0"/>
                  <w:marTop w:val="0"/>
                  <w:marBottom w:val="0"/>
                  <w:divBdr>
                    <w:top w:val="none" w:sz="0" w:space="0" w:color="auto"/>
                    <w:left w:val="none" w:sz="0" w:space="0" w:color="auto"/>
                    <w:bottom w:val="none" w:sz="0" w:space="0" w:color="auto"/>
                    <w:right w:val="none" w:sz="0" w:space="0" w:color="auto"/>
                  </w:divBdr>
                  <w:divsChild>
                    <w:div w:id="14525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026033">
      <w:bodyDiv w:val="1"/>
      <w:marLeft w:val="0"/>
      <w:marRight w:val="0"/>
      <w:marTop w:val="0"/>
      <w:marBottom w:val="0"/>
      <w:divBdr>
        <w:top w:val="none" w:sz="0" w:space="0" w:color="auto"/>
        <w:left w:val="none" w:sz="0" w:space="0" w:color="auto"/>
        <w:bottom w:val="none" w:sz="0" w:space="0" w:color="auto"/>
        <w:right w:val="none" w:sz="0" w:space="0" w:color="auto"/>
      </w:divBdr>
      <w:divsChild>
        <w:div w:id="957026039">
          <w:marLeft w:val="0"/>
          <w:marRight w:val="0"/>
          <w:marTop w:val="0"/>
          <w:marBottom w:val="0"/>
          <w:divBdr>
            <w:top w:val="none" w:sz="0" w:space="0" w:color="auto"/>
            <w:left w:val="none" w:sz="0" w:space="0" w:color="auto"/>
            <w:bottom w:val="none" w:sz="0" w:space="0" w:color="auto"/>
            <w:right w:val="none" w:sz="0" w:space="0" w:color="auto"/>
          </w:divBdr>
          <w:divsChild>
            <w:div w:id="1603413450">
              <w:marLeft w:val="0"/>
              <w:marRight w:val="0"/>
              <w:marTop w:val="0"/>
              <w:marBottom w:val="0"/>
              <w:divBdr>
                <w:top w:val="none" w:sz="0" w:space="0" w:color="auto"/>
                <w:left w:val="none" w:sz="0" w:space="0" w:color="auto"/>
                <w:bottom w:val="none" w:sz="0" w:space="0" w:color="auto"/>
                <w:right w:val="none" w:sz="0" w:space="0" w:color="auto"/>
              </w:divBdr>
              <w:divsChild>
                <w:div w:id="5716715">
                  <w:marLeft w:val="0"/>
                  <w:marRight w:val="0"/>
                  <w:marTop w:val="0"/>
                  <w:marBottom w:val="0"/>
                  <w:divBdr>
                    <w:top w:val="none" w:sz="0" w:space="0" w:color="auto"/>
                    <w:left w:val="none" w:sz="0" w:space="0" w:color="auto"/>
                    <w:bottom w:val="none" w:sz="0" w:space="0" w:color="auto"/>
                    <w:right w:val="none" w:sz="0" w:space="0" w:color="auto"/>
                  </w:divBdr>
                  <w:divsChild>
                    <w:div w:id="1526941898">
                      <w:marLeft w:val="0"/>
                      <w:marRight w:val="0"/>
                      <w:marTop w:val="0"/>
                      <w:marBottom w:val="0"/>
                      <w:divBdr>
                        <w:top w:val="none" w:sz="0" w:space="0" w:color="auto"/>
                        <w:left w:val="none" w:sz="0" w:space="0" w:color="auto"/>
                        <w:bottom w:val="none" w:sz="0" w:space="0" w:color="auto"/>
                        <w:right w:val="none" w:sz="0" w:space="0" w:color="auto"/>
                      </w:divBdr>
                      <w:divsChild>
                        <w:div w:id="1551962169">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wikipedia.org/wiki/Azioni" TargetMode="External"/><Relationship Id="rId3" Type="http://schemas.microsoft.com/office/2007/relationships/stylesWithEffects" Target="stylesWithEffects.xml"/><Relationship Id="rId7" Type="http://schemas.openxmlformats.org/officeDocument/2006/relationships/hyperlink" Target="http://it.wikipedia.org/wiki/Avviamen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t.wikipedia.org/wiki/Util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t.wikipedia.org/wiki/Obbligazione_(finanz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5</Pages>
  <Words>2002</Words>
  <Characters>11418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6</cp:revision>
  <dcterms:created xsi:type="dcterms:W3CDTF">2013-12-11T09:02:00Z</dcterms:created>
  <dcterms:modified xsi:type="dcterms:W3CDTF">2013-12-19T14:21:00Z</dcterms:modified>
</cp:coreProperties>
</file>