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F1D" w:rsidRDefault="00406F1D" w:rsidP="00CC22E3">
      <w:pPr>
        <w:jc w:val="center"/>
        <w:rPr>
          <w:rFonts w:ascii="Times New Roman" w:hAnsi="Times New Roman" w:cs="Times New Roman"/>
          <w:sz w:val="24"/>
          <w:szCs w:val="24"/>
          <w:lang w:eastAsia="it-IT"/>
        </w:rPr>
      </w:pPr>
      <w:r>
        <w:rPr>
          <w:rFonts w:ascii="Times New Roman" w:hAnsi="Times New Roman" w:cs="Times New Roman"/>
          <w:sz w:val="24"/>
          <w:szCs w:val="24"/>
          <w:lang w:eastAsia="it-IT"/>
        </w:rPr>
        <w:t>COMUNICATO STAMPA</w:t>
      </w:r>
    </w:p>
    <w:p w:rsidR="00406F1D" w:rsidRDefault="00406F1D" w:rsidP="00CC22E3">
      <w:pPr>
        <w:jc w:val="center"/>
        <w:rPr>
          <w:rFonts w:ascii="Times New Roman" w:hAnsi="Times New Roman" w:cs="Times New Roman"/>
          <w:sz w:val="24"/>
          <w:szCs w:val="24"/>
          <w:lang w:eastAsia="it-IT"/>
        </w:rPr>
      </w:pPr>
      <w:r>
        <w:rPr>
          <w:rFonts w:ascii="Times New Roman" w:hAnsi="Times New Roman" w:cs="Times New Roman"/>
          <w:sz w:val="24"/>
          <w:szCs w:val="24"/>
          <w:lang w:eastAsia="it-IT"/>
        </w:rPr>
        <w:t xml:space="preserve">BANCHE: DEPOSITI,PRESTITI,SOFFERENZE,INCAGLI: </w:t>
      </w:r>
      <w:r>
        <w:rPr>
          <w:rFonts w:ascii="Times New Roman" w:hAnsi="Times New Roman" w:cs="Times New Roman"/>
          <w:sz w:val="24"/>
          <w:szCs w:val="24"/>
          <w:lang w:eastAsia="it-IT"/>
        </w:rPr>
        <w:t>LA DISASTROSA GESTIONE DEL</w:t>
      </w:r>
      <w:r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it-IT"/>
        </w:rPr>
        <w:t xml:space="preserve">CREDITO DEI </w:t>
      </w:r>
      <w:r>
        <w:rPr>
          <w:rFonts w:ascii="Times New Roman" w:hAnsi="Times New Roman" w:cs="Times New Roman"/>
          <w:sz w:val="24"/>
          <w:szCs w:val="24"/>
          <w:lang w:eastAsia="it-IT"/>
        </w:rPr>
        <w:t>BANCHIERI</w:t>
      </w:r>
      <w:r>
        <w:rPr>
          <w:rFonts w:ascii="Times New Roman" w:hAnsi="Times New Roman" w:cs="Times New Roman"/>
          <w:sz w:val="24"/>
          <w:szCs w:val="24"/>
          <w:lang w:eastAsia="it-IT"/>
        </w:rPr>
        <w:t xml:space="preserve"> ITALIANI, CHE EROGANO PRESTITI AD AMICI E COMPARI.</w:t>
      </w:r>
    </w:p>
    <w:p w:rsidR="00CC22E3" w:rsidRDefault="00CC22E3" w:rsidP="003744E5">
      <w:pPr>
        <w:jc w:val="center"/>
        <w:rPr>
          <w:rFonts w:eastAsia="SimSun" w:cs="Century Gothic"/>
          <w:sz w:val="28"/>
          <w:szCs w:val="28"/>
          <w:lang w:eastAsia="zh-CN"/>
        </w:rPr>
      </w:pPr>
    </w:p>
    <w:tbl>
      <w:tblPr>
        <w:tblStyle w:val="Grigliatabella"/>
        <w:tblpPr w:leftFromText="141" w:rightFromText="141" w:bottomFromText="80" w:vertAnchor="text" w:horzAnchor="margin" w:tblpY="-113"/>
        <w:tblOverlap w:val="never"/>
        <w:tblW w:w="4891" w:type="pct"/>
        <w:tblLook w:val="04A0" w:firstRow="1" w:lastRow="0" w:firstColumn="1" w:lastColumn="0" w:noHBand="0" w:noVBand="1"/>
      </w:tblPr>
      <w:tblGrid>
        <w:gridCol w:w="2673"/>
        <w:gridCol w:w="783"/>
        <w:gridCol w:w="2456"/>
        <w:gridCol w:w="783"/>
        <w:gridCol w:w="2944"/>
      </w:tblGrid>
      <w:tr w:rsidR="00CC22E3" w:rsidTr="00BC60D0">
        <w:tc>
          <w:tcPr>
            <w:tcW w:w="1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  <w:hideMark/>
          </w:tcPr>
          <w:p w:rsidR="00CC22E3" w:rsidRDefault="00CC22E3" w:rsidP="00BC60D0">
            <w:pPr>
              <w:spacing w:after="80" w:line="360" w:lineRule="auto"/>
              <w:ind w:right="33"/>
              <w:jc w:val="left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Depositi: + 5,5 % sull’ottobre 2012</w:t>
            </w:r>
          </w:p>
        </w:tc>
        <w:tc>
          <w:tcPr>
            <w:tcW w:w="406" w:type="pct"/>
            <w:tcBorders>
              <w:top w:val="single" w:sz="4" w:space="0" w:color="FFFFFF" w:themeColor="background1"/>
              <w:left w:val="single" w:sz="4" w:space="0" w:color="000000"/>
              <w:bottom w:val="single" w:sz="4" w:space="0" w:color="FFFFFF" w:themeColor="background1"/>
              <w:right w:val="single" w:sz="4" w:space="0" w:color="000000"/>
            </w:tcBorders>
            <w:vAlign w:val="center"/>
          </w:tcPr>
          <w:p w:rsidR="00CC22E3" w:rsidRDefault="00CC22E3" w:rsidP="00BC60D0">
            <w:pPr>
              <w:spacing w:after="80" w:line="360" w:lineRule="auto"/>
              <w:ind w:right="33"/>
              <w:jc w:val="left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  <w:hideMark/>
          </w:tcPr>
          <w:p w:rsidR="00CC22E3" w:rsidRDefault="00CC22E3" w:rsidP="00BC60D0">
            <w:pPr>
              <w:spacing w:after="80" w:line="360" w:lineRule="auto"/>
              <w:ind w:right="33"/>
              <w:jc w:val="left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Prestiti: - 5,5 % alle aziende.</w:t>
            </w:r>
          </w:p>
        </w:tc>
        <w:tc>
          <w:tcPr>
            <w:tcW w:w="406" w:type="pct"/>
            <w:tcBorders>
              <w:top w:val="single" w:sz="4" w:space="0" w:color="FFFFFF" w:themeColor="background1"/>
              <w:left w:val="single" w:sz="4" w:space="0" w:color="000000"/>
              <w:bottom w:val="single" w:sz="4" w:space="0" w:color="FFFFFF" w:themeColor="background1"/>
              <w:right w:val="single" w:sz="4" w:space="0" w:color="000000"/>
            </w:tcBorders>
            <w:vAlign w:val="center"/>
          </w:tcPr>
          <w:p w:rsidR="00CC22E3" w:rsidRDefault="00CC22E3" w:rsidP="00BC60D0">
            <w:pPr>
              <w:spacing w:after="80" w:line="360" w:lineRule="auto"/>
              <w:ind w:right="33"/>
              <w:jc w:val="left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  <w:hideMark/>
          </w:tcPr>
          <w:p w:rsidR="00CC22E3" w:rsidRDefault="00CC22E3" w:rsidP="00BC60D0">
            <w:pPr>
              <w:spacing w:after="0" w:line="240" w:lineRule="auto"/>
              <w:ind w:right="33"/>
              <w:jc w:val="left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Sofferenze: + 22,2 % quelle lorde; + 28 % quelle al valore di realizzo.</w:t>
            </w:r>
          </w:p>
        </w:tc>
      </w:tr>
    </w:tbl>
    <w:p w:rsidR="003744E5" w:rsidRPr="00406F1D" w:rsidRDefault="00CC22E3" w:rsidP="00406F1D">
      <w:pPr>
        <w:pStyle w:val="Titolo2"/>
        <w:jc w:val="both"/>
        <w:rPr>
          <w:rFonts w:ascii="Times New Roman" w:hAnsi="Times New Roman" w:cs="Times New Roman"/>
        </w:rPr>
      </w:pPr>
      <w:r w:rsidRPr="00406F1D">
        <w:rPr>
          <w:rFonts w:ascii="Times New Roman" w:hAnsi="Times New Roman" w:cs="Times New Roman"/>
        </w:rPr>
        <w:t>Il Supplemento al Bollettino Statistico  “Moneta e banche” n° 64 del 9-12-13 di Bankitalia, ci permette una valutazione dell’andamento, congiunturale e su base annua, di Depositi (comprensivi di Pronto/Termine), Prestiti e Sofferenze bancarie. I dati sono aggiornati ad ottobre.</w:t>
      </w:r>
      <w:r w:rsidR="003744E5" w:rsidRPr="00406F1D">
        <w:rPr>
          <w:rFonts w:ascii="Times New Roman" w:hAnsi="Times New Roman" w:cs="Times New Roman"/>
        </w:rPr>
        <w:t xml:space="preserve"> </w:t>
      </w:r>
    </w:p>
    <w:p w:rsidR="00CC22E3" w:rsidRPr="00CC22E3" w:rsidRDefault="00CC22E3" w:rsidP="00CC22E3">
      <w:pPr>
        <w:spacing w:line="360" w:lineRule="auto"/>
        <w:rPr>
          <w:b/>
        </w:rPr>
      </w:pPr>
      <w:r w:rsidRPr="00CC22E3">
        <w:rPr>
          <w:b/>
        </w:rPr>
        <w:t>DEPOSITI</w:t>
      </w:r>
    </w:p>
    <w:p w:rsidR="003744E5" w:rsidRPr="00406F1D" w:rsidRDefault="00CC22E3" w:rsidP="00CC22E3">
      <w:pPr>
        <w:spacing w:line="360" w:lineRule="auto"/>
        <w:rPr>
          <w:rStyle w:val="Titolo2Carattere"/>
        </w:rPr>
      </w:pPr>
      <w:r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Per i Depositi </w:t>
      </w:r>
      <w:r w:rsidR="003744E5">
        <w:rPr>
          <w:rFonts w:ascii="Times New Roman" w:hAnsi="Times New Roman" w:cs="Times New Roman"/>
          <w:sz w:val="24"/>
          <w:szCs w:val="24"/>
          <w:lang w:eastAsia="it-IT"/>
        </w:rPr>
        <w:t>si</w:t>
      </w:r>
      <w:r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 rileva</w:t>
      </w:r>
      <w:r>
        <w:t xml:space="preserve"> (</w:t>
      </w:r>
      <w:r>
        <w:rPr>
          <w:b/>
        </w:rPr>
        <w:t>TAB. 1-)</w:t>
      </w:r>
      <w:r>
        <w:t xml:space="preserve"> </w:t>
      </w:r>
      <w:r w:rsidRPr="00063863">
        <w:rPr>
          <w:rFonts w:ascii="Times New Roman" w:hAnsi="Times New Roman" w:cs="Times New Roman"/>
          <w:sz w:val="24"/>
          <w:szCs w:val="24"/>
          <w:lang w:eastAsia="it-IT"/>
        </w:rPr>
        <w:t>un forte incremento sull’ottobre 2012, sia in generale (+ 5,5 %) che per quelli in conto corrente (+ 6,7 %). Per la variazione congiunturale, si rileva un calo frazionario per i Depositi complessivi (- 0,2 %) e un incremento di quelli in C/C (+1,9 %).</w:t>
      </w:r>
      <w:r w:rsidR="003744E5" w:rsidRPr="00063863">
        <w:rPr>
          <w:rFonts w:ascii="Times New Roman" w:hAnsi="Times New Roman" w:cs="Times New Roman"/>
          <w:sz w:val="24"/>
          <w:szCs w:val="24"/>
        </w:rPr>
        <w:t xml:space="preserve"> </w:t>
      </w:r>
      <w:r w:rsidRPr="00063863">
        <w:rPr>
          <w:rFonts w:ascii="Times New Roman" w:hAnsi="Times New Roman" w:cs="Times New Roman"/>
          <w:sz w:val="24"/>
          <w:szCs w:val="24"/>
          <w:lang w:eastAsia="it-IT"/>
        </w:rPr>
        <w:t>I correntisti, quindi, si stanno “tenendo liquidi”, come si dice in gergo finanziario.</w:t>
      </w:r>
      <w:r w:rsidR="003744E5" w:rsidRPr="00063863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r w:rsidRPr="00063863">
        <w:rPr>
          <w:rFonts w:ascii="Times New Roman" w:hAnsi="Times New Roman" w:cs="Times New Roman"/>
          <w:sz w:val="24"/>
          <w:szCs w:val="24"/>
          <w:lang w:eastAsia="it-IT"/>
        </w:rPr>
        <w:t>Il dato è incongruente con le valutazioni ABI miranti ad informare che i depositi bancari languono</w:t>
      </w:r>
      <w:r w:rsidRPr="00063863">
        <w:rPr>
          <w:rStyle w:val="Titolo2Carattere"/>
        </w:rPr>
        <w:t>.</w:t>
      </w:r>
    </w:p>
    <w:p w:rsidR="00CC22E3" w:rsidRPr="00CC22E3" w:rsidRDefault="003744E5" w:rsidP="00CC22E3">
      <w:pPr>
        <w:spacing w:line="360" w:lineRule="auto"/>
        <w:rPr>
          <w:b/>
        </w:rPr>
      </w:pPr>
      <w:r>
        <w:t xml:space="preserve"> </w:t>
      </w:r>
      <w:r w:rsidR="00CC22E3" w:rsidRPr="00CC22E3">
        <w:rPr>
          <w:b/>
        </w:rPr>
        <w:t>PRESTITI</w:t>
      </w:r>
    </w:p>
    <w:p w:rsidR="003744E5" w:rsidRPr="00063863" w:rsidRDefault="00CC22E3" w:rsidP="00063863">
      <w:pPr>
        <w:pStyle w:val="Titolo2"/>
        <w:jc w:val="both"/>
        <w:rPr>
          <w:rFonts w:ascii="Times New Roman" w:hAnsi="Times New Roman" w:cs="Times New Roman"/>
        </w:rPr>
      </w:pPr>
      <w:r w:rsidRPr="00063863">
        <w:rPr>
          <w:rFonts w:ascii="Times New Roman" w:hAnsi="Times New Roman" w:cs="Times New Roman"/>
        </w:rPr>
        <w:t>Crollano invece i Prestiti all’apparato produttivo, con -5,5 % sul 2012 e -0,7 % su settembre 2012.</w:t>
      </w:r>
      <w:r w:rsidR="003744E5" w:rsidRPr="00063863">
        <w:rPr>
          <w:rFonts w:ascii="Times New Roman" w:hAnsi="Times New Roman" w:cs="Times New Roman"/>
        </w:rPr>
        <w:t xml:space="preserve"> </w:t>
      </w:r>
      <w:r w:rsidRPr="00063863">
        <w:rPr>
          <w:rFonts w:ascii="Times New Roman" w:hAnsi="Times New Roman" w:cs="Times New Roman"/>
        </w:rPr>
        <w:t xml:space="preserve">Anche i prestiti alle famiglie calano: rispetto ad ottobre 2012, le famiglie produttrici vedono le erogazioni tagliate del 2,6 %, quelle consumatrici dello 0,9 %. In termini congiunturali, le famiglie produttrici vedono i prestiti ridotti dello 0,4 %, mentre quelli delle famiglie consumatrici </w:t>
      </w:r>
      <w:r w:rsidR="003744E5" w:rsidRPr="00063863">
        <w:rPr>
          <w:rFonts w:ascii="Times New Roman" w:hAnsi="Times New Roman" w:cs="Times New Roman"/>
        </w:rPr>
        <w:t>, sono</w:t>
      </w:r>
      <w:r w:rsidRPr="00063863">
        <w:rPr>
          <w:rFonts w:ascii="Times New Roman" w:hAnsi="Times New Roman" w:cs="Times New Roman"/>
        </w:rPr>
        <w:t xml:space="preserve"> stazionari (-0,03 %) ma pur sempre col segno meno.</w:t>
      </w:r>
    </w:p>
    <w:p w:rsidR="00CC22E3" w:rsidRDefault="00CC22E3" w:rsidP="003744E5">
      <w:pPr>
        <w:spacing w:line="360" w:lineRule="auto"/>
        <w:rPr>
          <w:b/>
        </w:rPr>
      </w:pPr>
      <w:proofErr w:type="spellStart"/>
      <w:r>
        <w:rPr>
          <w:b/>
        </w:rPr>
        <w:t>Tab</w:t>
      </w:r>
      <w:proofErr w:type="spellEnd"/>
      <w:r>
        <w:rPr>
          <w:b/>
        </w:rPr>
        <w:t>. 1- Sistema bancario italiano</w:t>
      </w:r>
      <w:r w:rsidR="003744E5">
        <w:rPr>
          <w:b/>
        </w:rPr>
        <w:t xml:space="preserve"> </w:t>
      </w:r>
      <w:r>
        <w:rPr>
          <w:b/>
        </w:rPr>
        <w:t>Depositi e Prestiti a residenti</w:t>
      </w:r>
    </w:p>
    <w:p w:rsidR="00CC22E3" w:rsidRDefault="00CC22E3" w:rsidP="00CC22E3">
      <w:pPr>
        <w:spacing w:after="0"/>
        <w:jc w:val="center"/>
      </w:pPr>
      <w:r>
        <w:t>Fonte “Moneta e banche” n° 64 del 9-12-13 (</w:t>
      </w:r>
      <w:r w:rsidR="003744E5">
        <w:t>pagine</w:t>
      </w:r>
      <w:r>
        <w:t xml:space="preserve"> 24, 26, 27, 28)</w:t>
      </w:r>
      <w:r w:rsidR="003744E5">
        <w:t xml:space="preserve"> </w:t>
      </w:r>
      <w:r>
        <w:t xml:space="preserve">In miliardi di euro. </w:t>
      </w:r>
      <w:r w:rsidR="003744E5">
        <w:t>E</w:t>
      </w:r>
      <w:r>
        <w:t>laborazioni</w:t>
      </w:r>
      <w:r w:rsidR="003744E5">
        <w:t xml:space="preserve"> </w:t>
      </w:r>
      <w:r w:rsidR="00063863">
        <w:t xml:space="preserve">DR. Mauro Novelli Segretario Nazionale </w:t>
      </w:r>
      <w:r w:rsidR="003744E5">
        <w:t>Adusbef</w:t>
      </w:r>
    </w:p>
    <w:tbl>
      <w:tblPr>
        <w:tblStyle w:val="Grigliatabella"/>
        <w:tblW w:w="10047" w:type="dxa"/>
        <w:jc w:val="center"/>
        <w:tblLook w:val="04A0" w:firstRow="1" w:lastRow="0" w:firstColumn="1" w:lastColumn="0" w:noHBand="0" w:noVBand="1"/>
      </w:tblPr>
      <w:tblGrid>
        <w:gridCol w:w="2615"/>
        <w:gridCol w:w="1686"/>
        <w:gridCol w:w="1494"/>
        <w:gridCol w:w="1417"/>
        <w:gridCol w:w="1559"/>
        <w:gridCol w:w="1276"/>
      </w:tblGrid>
      <w:tr w:rsidR="00CC22E3" w:rsidTr="00BC60D0">
        <w:trPr>
          <w:jc w:val="center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b/>
                <w:sz w:val="20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b/>
                <w:sz w:val="20"/>
                <w:lang w:eastAsia="en-US"/>
              </w:rPr>
            </w:pPr>
            <w:r>
              <w:rPr>
                <w:b/>
                <w:sz w:val="20"/>
              </w:rPr>
              <w:t>Ottobre 2013</w:t>
            </w:r>
          </w:p>
        </w:tc>
        <w:tc>
          <w:tcPr>
            <w:tcW w:w="2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b/>
                <w:sz w:val="20"/>
                <w:lang w:eastAsia="en-US"/>
              </w:rPr>
            </w:pPr>
            <w:r>
              <w:rPr>
                <w:b/>
                <w:sz w:val="20"/>
              </w:rPr>
              <w:t>Settembre 2013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b/>
                <w:sz w:val="20"/>
                <w:lang w:eastAsia="en-US"/>
              </w:rPr>
            </w:pPr>
            <w:r>
              <w:rPr>
                <w:b/>
                <w:sz w:val="20"/>
              </w:rPr>
              <w:t>Ottobre 2012</w:t>
            </w:r>
          </w:p>
        </w:tc>
      </w:tr>
      <w:tr w:rsidR="00CC22E3" w:rsidTr="00BC60D0">
        <w:trPr>
          <w:jc w:val="center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b/>
                <w:sz w:val="20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b/>
                <w:sz w:val="20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b/>
                <w:sz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b/>
                <w:sz w:val="20"/>
                <w:lang w:eastAsia="en-US"/>
              </w:rPr>
            </w:pPr>
            <w:proofErr w:type="spellStart"/>
            <w:r>
              <w:rPr>
                <w:b/>
                <w:sz w:val="20"/>
              </w:rPr>
              <w:t>Variaz</w:t>
            </w:r>
            <w:proofErr w:type="spellEnd"/>
            <w:r>
              <w:rPr>
                <w:b/>
                <w:sz w:val="20"/>
              </w:rPr>
              <w:t>.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b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b/>
                <w:sz w:val="20"/>
                <w:lang w:eastAsia="en-US"/>
              </w:rPr>
            </w:pPr>
            <w:proofErr w:type="spellStart"/>
            <w:r>
              <w:rPr>
                <w:b/>
                <w:sz w:val="20"/>
              </w:rPr>
              <w:t>Variaz</w:t>
            </w:r>
            <w:proofErr w:type="spellEnd"/>
            <w:r>
              <w:rPr>
                <w:b/>
                <w:sz w:val="20"/>
              </w:rPr>
              <w:t>. %</w:t>
            </w:r>
          </w:p>
        </w:tc>
      </w:tr>
      <w:tr w:rsidR="00CC22E3" w:rsidTr="00BC60D0">
        <w:trPr>
          <w:jc w:val="center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rPr>
                <w:rFonts w:ascii="Century Gothic" w:hAnsi="Century Gothic"/>
                <w:b/>
                <w:sz w:val="20"/>
                <w:lang w:eastAsia="en-US"/>
              </w:rPr>
            </w:pPr>
            <w:r>
              <w:rPr>
                <w:b/>
                <w:sz w:val="20"/>
              </w:rPr>
              <w:t>DEPOSITI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1.488,942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1.491,538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- 0,2%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1.407,044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+ 5,5%</w:t>
            </w:r>
          </w:p>
        </w:tc>
      </w:tr>
      <w:tr w:rsidR="00CC22E3" w:rsidTr="00BC60D0">
        <w:trPr>
          <w:jc w:val="center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rPr>
                <w:rFonts w:ascii="Century Gothic" w:hAnsi="Century Gothic"/>
                <w:b/>
                <w:sz w:val="20"/>
                <w:lang w:eastAsia="en-US"/>
              </w:rPr>
            </w:pPr>
            <w:r>
              <w:rPr>
                <w:b/>
                <w:sz w:val="18"/>
              </w:rPr>
              <w:t>…di cui in Conto corrente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739,321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725,854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+ 1,9%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692,688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+ 6,7%</w:t>
            </w:r>
          </w:p>
        </w:tc>
      </w:tr>
      <w:tr w:rsidR="00CC22E3" w:rsidTr="00BC60D0">
        <w:trPr>
          <w:jc w:val="center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CC22E3" w:rsidRDefault="00CC22E3" w:rsidP="00BC60D0">
            <w:pPr>
              <w:spacing w:after="80" w:line="240" w:lineRule="auto"/>
              <w:rPr>
                <w:rFonts w:ascii="Century Gothic" w:hAnsi="Century Gothic"/>
                <w:b/>
                <w:sz w:val="20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</w:tr>
      <w:tr w:rsidR="00CC22E3" w:rsidTr="00BC60D0">
        <w:trPr>
          <w:jc w:val="center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rPr>
                <w:rFonts w:ascii="Century Gothic" w:hAnsi="Century Gothic"/>
                <w:b/>
                <w:sz w:val="20"/>
                <w:lang w:eastAsia="en-US"/>
              </w:rPr>
            </w:pPr>
            <w:r>
              <w:rPr>
                <w:b/>
                <w:sz w:val="20"/>
              </w:rPr>
              <w:t>PRESTITI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2.300,096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2.306,265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- 0,2%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2.369,567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- 2,9%</w:t>
            </w:r>
          </w:p>
        </w:tc>
      </w:tr>
      <w:tr w:rsidR="00CC22E3" w:rsidTr="00BC60D0">
        <w:trPr>
          <w:jc w:val="center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b/>
                <w:sz w:val="20"/>
                <w:lang w:eastAsia="en-US"/>
              </w:rPr>
            </w:pPr>
            <w:r>
              <w:rPr>
                <w:b/>
                <w:sz w:val="20"/>
              </w:rPr>
              <w:t>di cui….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</w:tr>
      <w:tr w:rsidR="00CC22E3" w:rsidTr="00BC60D0">
        <w:trPr>
          <w:jc w:val="center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rPr>
                <w:rFonts w:ascii="Century Gothic" w:hAnsi="Century Gothic"/>
                <w:b/>
                <w:sz w:val="18"/>
                <w:lang w:eastAsia="en-US"/>
              </w:rPr>
            </w:pPr>
            <w:r>
              <w:rPr>
                <w:b/>
                <w:sz w:val="18"/>
              </w:rPr>
              <w:t>… a società non finanziarie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822,904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828,972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- 0,7%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870,578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- 5,5%</w:t>
            </w:r>
          </w:p>
        </w:tc>
      </w:tr>
      <w:tr w:rsidR="00CC22E3" w:rsidTr="00BC60D0">
        <w:trPr>
          <w:jc w:val="center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rPr>
                <w:rFonts w:ascii="Century Gothic" w:hAnsi="Century Gothic"/>
                <w:b/>
                <w:sz w:val="18"/>
                <w:lang w:eastAsia="en-US"/>
              </w:rPr>
            </w:pPr>
            <w:r>
              <w:rPr>
                <w:b/>
                <w:sz w:val="18"/>
              </w:rPr>
              <w:t>… a famiglie consumatrici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497,637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497,765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- 0,03%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501,932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- 0,9%</w:t>
            </w:r>
          </w:p>
        </w:tc>
      </w:tr>
      <w:tr w:rsidR="00CC22E3" w:rsidTr="00BC60D0">
        <w:trPr>
          <w:jc w:val="center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rPr>
                <w:rFonts w:ascii="Century Gothic" w:hAnsi="Century Gothic"/>
                <w:b/>
                <w:sz w:val="18"/>
                <w:lang w:eastAsia="en-US"/>
              </w:rPr>
            </w:pPr>
            <w:r>
              <w:rPr>
                <w:b/>
                <w:sz w:val="18"/>
              </w:rPr>
              <w:t>… a famiglie produttrici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95,651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96,020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- 0,4%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98,221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- 2,6%</w:t>
            </w:r>
          </w:p>
        </w:tc>
      </w:tr>
    </w:tbl>
    <w:p w:rsidR="00406F1D" w:rsidRDefault="00406F1D" w:rsidP="00CC22E3">
      <w:pPr>
        <w:spacing w:line="360" w:lineRule="auto"/>
        <w:rPr>
          <w:b/>
        </w:rPr>
      </w:pPr>
    </w:p>
    <w:p w:rsidR="00CC22E3" w:rsidRPr="00CC22E3" w:rsidRDefault="00CC22E3" w:rsidP="00CC22E3">
      <w:pPr>
        <w:spacing w:line="360" w:lineRule="auto"/>
        <w:rPr>
          <w:b/>
        </w:rPr>
      </w:pPr>
      <w:r w:rsidRPr="00CC22E3">
        <w:rPr>
          <w:b/>
        </w:rPr>
        <w:t>SOFFERENZE</w:t>
      </w:r>
    </w:p>
    <w:p w:rsidR="00CC22E3" w:rsidRPr="003744E5" w:rsidRDefault="00CC22E3" w:rsidP="003744E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  <w:lang w:eastAsia="it-IT"/>
        </w:rPr>
      </w:pPr>
      <w:r w:rsidRPr="003744E5">
        <w:rPr>
          <w:rFonts w:ascii="Times New Roman" w:hAnsi="Times New Roman" w:cs="Times New Roman"/>
          <w:sz w:val="24"/>
          <w:szCs w:val="24"/>
          <w:lang w:eastAsia="it-IT"/>
        </w:rPr>
        <w:t>Continua la crescita delle sofferenze: in una anno si incrementano del  + 22,3 % quelle lorde, + 28,0 % quelle al valore di realizzo; su base congiunturale crescono di quasi il 2 % le lorde e del 3 le seconde. Queste ultime, spiega Bankitalia,  sono ottenute sottraendo alle sofferenze i fondi rettificativi su esposizioni per cassa delle sofferenze, che includono sia i fondi (iscritti nella contabilità generale delle banche segnalanti), che assolvono la funzione di rettificare i valori dei finanziamenti, sia l'ammontare cumulato delle svalutazioni operate in contabilità generale direttamente in conto (svalutazione diretta).</w:t>
      </w:r>
      <w:r w:rsidR="003744E5"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r w:rsidRPr="003744E5">
        <w:rPr>
          <w:rFonts w:ascii="Times New Roman" w:hAnsi="Times New Roman" w:cs="Times New Roman"/>
          <w:sz w:val="24"/>
          <w:szCs w:val="24"/>
          <w:lang w:eastAsia="it-IT"/>
        </w:rPr>
        <w:t>Circa le sofferenze bancarie, ci corre l’obbligo di richiamare la considerazione di Bankitalia, secondo cui, se per la loro definizione si adottasse il calcolo utilizzato nel resto d’Europa, quelle a  carico del sistema bancario italiano si ridurrebbero del 30 percento.</w:t>
      </w:r>
      <w:r>
        <w:t xml:space="preserve"> La </w:t>
      </w:r>
      <w:r>
        <w:rPr>
          <w:b/>
        </w:rPr>
        <w:t>TAB. 2-</w:t>
      </w:r>
      <w:r>
        <w:t xml:space="preserve"> </w:t>
      </w:r>
      <w:r w:rsidRPr="003744E5">
        <w:rPr>
          <w:rFonts w:ascii="Times New Roman" w:hAnsi="Times New Roman" w:cs="Times New Roman"/>
          <w:sz w:val="24"/>
          <w:szCs w:val="24"/>
          <w:lang w:eastAsia="it-IT"/>
        </w:rPr>
        <w:t>evidenzia lo stato sempre più precario in cui versa l’apparato produttivo: le sofferenze lorde imputabili a società non finanziarie sono cresciute, rispetto ad ottobre 2012, di oltre il 26 %, quelle a carico delle famiglie produttive del 16,2 %.</w:t>
      </w:r>
      <w:r w:rsidR="003744E5"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r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Per quanto riguarda le famiglie consumatrici, le sofferenze sui prestiti da esse ottenute, sono cresciute in un anno di oltre il 15 %. </w:t>
      </w:r>
      <w:r w:rsidR="003744E5"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r w:rsidRPr="003744E5">
        <w:rPr>
          <w:rFonts w:ascii="Times New Roman" w:hAnsi="Times New Roman" w:cs="Times New Roman"/>
          <w:sz w:val="24"/>
          <w:szCs w:val="24"/>
          <w:lang w:eastAsia="it-IT"/>
        </w:rPr>
        <w:t>Consistente l’incremento anche del dato congiunturale: + 2,1 % per le aziende; + 1,2,% per le famiglie consumatrici; + 1,1 % per le produttrici.</w:t>
      </w:r>
    </w:p>
    <w:p w:rsidR="00CC22E3" w:rsidRDefault="00CC22E3" w:rsidP="00CC22E3">
      <w:pPr>
        <w:spacing w:after="0"/>
        <w:jc w:val="center"/>
        <w:rPr>
          <w:b/>
        </w:rPr>
      </w:pPr>
      <w:r>
        <w:rPr>
          <w:b/>
        </w:rPr>
        <w:t>TAB. 2- Sistema bancario italiano. Sofferenze</w:t>
      </w:r>
    </w:p>
    <w:p w:rsidR="00CC22E3" w:rsidRDefault="00CC22E3" w:rsidP="00CC22E3">
      <w:pPr>
        <w:spacing w:after="0"/>
        <w:jc w:val="center"/>
      </w:pPr>
      <w:r>
        <w:t>Fonte “Moneta e banche” n° 64 del 9-12-13 (pag. 30)</w:t>
      </w:r>
      <w:r w:rsidR="00406F1D">
        <w:t xml:space="preserve"> </w:t>
      </w:r>
      <w:r>
        <w:t>In miliardi di euro. Ns. elaborazioni.</w:t>
      </w:r>
    </w:p>
    <w:tbl>
      <w:tblPr>
        <w:tblStyle w:val="Grigliatabella"/>
        <w:tblW w:w="9247" w:type="dxa"/>
        <w:jc w:val="center"/>
        <w:tblLook w:val="04A0" w:firstRow="1" w:lastRow="0" w:firstColumn="1" w:lastColumn="0" w:noHBand="0" w:noVBand="1"/>
      </w:tblPr>
      <w:tblGrid>
        <w:gridCol w:w="2782"/>
        <w:gridCol w:w="1508"/>
        <w:gridCol w:w="1150"/>
        <w:gridCol w:w="1169"/>
        <w:gridCol w:w="1276"/>
        <w:gridCol w:w="1362"/>
      </w:tblGrid>
      <w:tr w:rsidR="00CC22E3" w:rsidTr="00BC60D0">
        <w:trPr>
          <w:jc w:val="center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CC22E3" w:rsidRDefault="00CC22E3" w:rsidP="00BC60D0">
            <w:pPr>
              <w:spacing w:after="80" w:line="240" w:lineRule="auto"/>
              <w:rPr>
                <w:rFonts w:ascii="Century Gothic" w:hAnsi="Century Gothic"/>
                <w:b/>
                <w:sz w:val="20"/>
                <w:lang w:eastAsia="en-US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Ottobre 2013</w:t>
            </w:r>
          </w:p>
        </w:tc>
        <w:tc>
          <w:tcPr>
            <w:tcW w:w="2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Settembre 2013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Ottobre 2012</w:t>
            </w:r>
          </w:p>
        </w:tc>
      </w:tr>
      <w:tr w:rsidR="00CC22E3" w:rsidTr="00BC60D0">
        <w:trPr>
          <w:jc w:val="center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CC22E3" w:rsidRDefault="00CC22E3" w:rsidP="00BC60D0">
            <w:pPr>
              <w:spacing w:after="80" w:line="240" w:lineRule="auto"/>
              <w:rPr>
                <w:rFonts w:ascii="Century Gothic" w:hAnsi="Century Gothic"/>
                <w:b/>
                <w:sz w:val="20"/>
                <w:lang w:eastAsia="en-US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sz w:val="20"/>
                <w:lang w:eastAsia="en-US"/>
              </w:rPr>
            </w:pPr>
            <w:proofErr w:type="spellStart"/>
            <w:r>
              <w:rPr>
                <w:sz w:val="20"/>
              </w:rPr>
              <w:t>Variaz</w:t>
            </w:r>
            <w:proofErr w:type="spellEnd"/>
            <w:r>
              <w:rPr>
                <w:sz w:val="20"/>
              </w:rPr>
              <w:t>. 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sz w:val="20"/>
                <w:lang w:eastAsia="en-US"/>
              </w:rPr>
            </w:pPr>
            <w:proofErr w:type="spellStart"/>
            <w:r>
              <w:rPr>
                <w:sz w:val="20"/>
              </w:rPr>
              <w:t>Variaz</w:t>
            </w:r>
            <w:proofErr w:type="spellEnd"/>
            <w:r>
              <w:rPr>
                <w:sz w:val="20"/>
              </w:rPr>
              <w:t>. %</w:t>
            </w:r>
          </w:p>
        </w:tc>
      </w:tr>
      <w:tr w:rsidR="00CC22E3" w:rsidTr="00BC60D0">
        <w:trPr>
          <w:jc w:val="center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rPr>
                <w:rFonts w:ascii="Century Gothic" w:hAnsi="Century Gothic"/>
                <w:b/>
                <w:sz w:val="20"/>
                <w:lang w:eastAsia="en-US"/>
              </w:rPr>
            </w:pPr>
            <w:r>
              <w:rPr>
                <w:b/>
                <w:sz w:val="20"/>
              </w:rPr>
              <w:t>SOFFERENZE LORDE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147,297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144,526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+1,9%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119,825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+ 22,3%</w:t>
            </w:r>
          </w:p>
        </w:tc>
      </w:tr>
      <w:tr w:rsidR="00CC22E3" w:rsidTr="00BC60D0">
        <w:trPr>
          <w:jc w:val="center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b/>
                <w:sz w:val="20"/>
                <w:lang w:eastAsia="en-US"/>
              </w:rPr>
            </w:pPr>
            <w:r>
              <w:rPr>
                <w:b/>
                <w:sz w:val="20"/>
              </w:rPr>
              <w:t>di cui….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</w:tr>
      <w:tr w:rsidR="00CC22E3" w:rsidTr="00BC60D0">
        <w:trPr>
          <w:jc w:val="center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rPr>
                <w:rFonts w:ascii="Century Gothic" w:hAnsi="Century Gothic"/>
                <w:b/>
                <w:sz w:val="18"/>
                <w:lang w:eastAsia="en-US"/>
              </w:rPr>
            </w:pPr>
            <w:r>
              <w:rPr>
                <w:b/>
                <w:sz w:val="18"/>
              </w:rPr>
              <w:t>… di società non finanziarie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101,205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99,128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+ 2,1%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80,242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+ 26,1%</w:t>
            </w:r>
          </w:p>
        </w:tc>
      </w:tr>
      <w:tr w:rsidR="00CC22E3" w:rsidTr="00BC60D0">
        <w:trPr>
          <w:jc w:val="center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rPr>
                <w:rFonts w:ascii="Century Gothic" w:hAnsi="Century Gothic"/>
                <w:b/>
                <w:sz w:val="18"/>
                <w:lang w:eastAsia="en-US"/>
              </w:rPr>
            </w:pPr>
            <w:r>
              <w:rPr>
                <w:b/>
                <w:sz w:val="18"/>
              </w:rPr>
              <w:t>… di famiglie consumatrici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31,238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30,871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+ 1,2%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27,074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+ 15,4%</w:t>
            </w:r>
          </w:p>
        </w:tc>
      </w:tr>
      <w:tr w:rsidR="00CC22E3" w:rsidTr="00BC60D0">
        <w:trPr>
          <w:jc w:val="center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rPr>
                <w:rFonts w:ascii="Century Gothic" w:hAnsi="Century Gothic"/>
                <w:b/>
                <w:sz w:val="18"/>
                <w:lang w:eastAsia="en-US"/>
              </w:rPr>
            </w:pPr>
            <w:r>
              <w:rPr>
                <w:b/>
                <w:sz w:val="18"/>
              </w:rPr>
              <w:t>… di famiglie produttrici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12,813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12,678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+ 1,1%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11,024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18"/>
                <w:lang w:eastAsia="en-US"/>
              </w:rPr>
            </w:pPr>
            <w:r>
              <w:rPr>
                <w:sz w:val="18"/>
              </w:rPr>
              <w:t>+ 16,2%</w:t>
            </w:r>
          </w:p>
        </w:tc>
      </w:tr>
      <w:tr w:rsidR="00CC22E3" w:rsidTr="00BC60D0">
        <w:trPr>
          <w:jc w:val="center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CC22E3" w:rsidRDefault="00CC22E3" w:rsidP="00BC60D0">
            <w:pPr>
              <w:spacing w:after="80" w:line="240" w:lineRule="auto"/>
              <w:rPr>
                <w:rFonts w:ascii="Century Gothic" w:hAnsi="Century Gothic"/>
                <w:b/>
                <w:sz w:val="20"/>
                <w:lang w:eastAsia="en-US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</w:p>
        </w:tc>
      </w:tr>
      <w:tr w:rsidR="00CC22E3" w:rsidTr="00BC60D0">
        <w:trPr>
          <w:jc w:val="center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hideMark/>
          </w:tcPr>
          <w:p w:rsidR="00CC22E3" w:rsidRDefault="00CC22E3" w:rsidP="00BC60D0">
            <w:pPr>
              <w:spacing w:after="80" w:line="240" w:lineRule="auto"/>
              <w:rPr>
                <w:rFonts w:ascii="Century Gothic" w:hAnsi="Century Gothic"/>
                <w:b/>
                <w:sz w:val="20"/>
                <w:lang w:eastAsia="en-US"/>
              </w:rPr>
            </w:pPr>
            <w:r>
              <w:rPr>
                <w:b/>
                <w:sz w:val="20"/>
              </w:rPr>
              <w:t>SOFFERENZE NETTE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center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77,405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75,152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+ 3,0%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60,495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2E3" w:rsidRDefault="00CC22E3" w:rsidP="00BC60D0">
            <w:pPr>
              <w:spacing w:after="80" w:line="240" w:lineRule="auto"/>
              <w:jc w:val="right"/>
              <w:rPr>
                <w:rFonts w:ascii="Century Gothic" w:hAnsi="Century Gothic"/>
                <w:sz w:val="20"/>
                <w:lang w:eastAsia="en-US"/>
              </w:rPr>
            </w:pPr>
            <w:r>
              <w:rPr>
                <w:sz w:val="20"/>
              </w:rPr>
              <w:t>+ 28,0%</w:t>
            </w:r>
          </w:p>
        </w:tc>
      </w:tr>
    </w:tbl>
    <w:p w:rsidR="003744E5" w:rsidRDefault="003744E5" w:rsidP="003744E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it-IT"/>
        </w:rPr>
      </w:pPr>
    </w:p>
    <w:p w:rsidR="00B42E1C" w:rsidRPr="00406F1D" w:rsidRDefault="00B42E1C" w:rsidP="003744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it-IT"/>
        </w:rPr>
      </w:pPr>
      <w:r w:rsidRPr="00406F1D">
        <w:rPr>
          <w:rFonts w:ascii="Times New Roman" w:hAnsi="Times New Roman" w:cs="Times New Roman"/>
          <w:b/>
          <w:sz w:val="24"/>
          <w:szCs w:val="24"/>
          <w:lang w:eastAsia="it-IT"/>
        </w:rPr>
        <w:t xml:space="preserve"> I CREDITI CLIENTELARI DEI BANCHIERI A</w:t>
      </w:r>
      <w:r w:rsidR="00406F1D" w:rsidRPr="00406F1D">
        <w:rPr>
          <w:rFonts w:ascii="Times New Roman" w:hAnsi="Times New Roman" w:cs="Times New Roman"/>
          <w:b/>
          <w:sz w:val="24"/>
          <w:szCs w:val="24"/>
          <w:lang w:eastAsia="it-IT"/>
        </w:rPr>
        <w:t xml:space="preserve">D AMICI E COMPARI: LO </w:t>
      </w:r>
      <w:r w:rsidRPr="00406F1D">
        <w:rPr>
          <w:rFonts w:ascii="Times New Roman" w:hAnsi="Times New Roman" w:cs="Times New Roman"/>
          <w:b/>
          <w:sz w:val="24"/>
          <w:szCs w:val="24"/>
          <w:lang w:eastAsia="it-IT"/>
        </w:rPr>
        <w:t xml:space="preserve">STUDIO UBS </w:t>
      </w:r>
    </w:p>
    <w:p w:rsidR="00406F1D" w:rsidRDefault="00406F1D" w:rsidP="003744E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it-IT"/>
        </w:rPr>
      </w:pPr>
    </w:p>
    <w:p w:rsidR="003744E5" w:rsidRPr="003744E5" w:rsidRDefault="003744E5" w:rsidP="003744E5">
      <w:pPr>
        <w:spacing w:after="0" w:line="240" w:lineRule="auto"/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</w:pPr>
      <w:r>
        <w:rPr>
          <w:rFonts w:ascii="Times New Roman" w:hAnsi="Times New Roman" w:cs="Times New Roman"/>
          <w:sz w:val="24"/>
          <w:szCs w:val="24"/>
          <w:lang w:eastAsia="it-IT"/>
        </w:rPr>
        <w:t>Secondo un recente studio di UBS (Unione Banche Svizzere) l</w:t>
      </w:r>
      <w:r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’Italia rappresenta uno dei maggiori mercati europei di </w:t>
      </w:r>
      <w:r w:rsidRPr="003744E5">
        <w:rPr>
          <w:rFonts w:ascii="Times New Roman" w:hAnsi="Times New Roman" w:cs="Times New Roman"/>
          <w:i/>
          <w:sz w:val="24"/>
          <w:szCs w:val="24"/>
          <w:lang w:eastAsia="it-IT"/>
        </w:rPr>
        <w:t>N</w:t>
      </w:r>
      <w:r w:rsidRPr="003744E5">
        <w:rPr>
          <w:rFonts w:ascii="Times New Roman" w:hAnsi="Times New Roman" w:cs="Times New Roman"/>
          <w:i/>
          <w:sz w:val="24"/>
          <w:szCs w:val="24"/>
          <w:lang w:eastAsia="it-IT"/>
        </w:rPr>
        <w:t xml:space="preserve">on </w:t>
      </w:r>
      <w:proofErr w:type="spellStart"/>
      <w:r w:rsidRPr="003744E5">
        <w:rPr>
          <w:rFonts w:ascii="Times New Roman" w:hAnsi="Times New Roman" w:cs="Times New Roman"/>
          <w:i/>
          <w:sz w:val="24"/>
          <w:szCs w:val="24"/>
          <w:lang w:eastAsia="it-IT"/>
        </w:rPr>
        <w:t>P</w:t>
      </w:r>
      <w:r w:rsidRPr="003744E5">
        <w:rPr>
          <w:rFonts w:ascii="Times New Roman" w:hAnsi="Times New Roman" w:cs="Times New Roman"/>
          <w:i/>
          <w:sz w:val="24"/>
          <w:szCs w:val="24"/>
          <w:lang w:eastAsia="it-IT"/>
        </w:rPr>
        <w:t>erforming</w:t>
      </w:r>
      <w:proofErr w:type="spellEnd"/>
      <w:r w:rsidRPr="003744E5">
        <w:rPr>
          <w:rFonts w:ascii="Times New Roman" w:hAnsi="Times New Roman" w:cs="Times New Roman"/>
          <w:i/>
          <w:sz w:val="24"/>
          <w:szCs w:val="24"/>
          <w:lang w:eastAsia="it-IT"/>
        </w:rPr>
        <w:t xml:space="preserve"> </w:t>
      </w:r>
      <w:proofErr w:type="spellStart"/>
      <w:r w:rsidRPr="003744E5">
        <w:rPr>
          <w:rFonts w:ascii="Times New Roman" w:hAnsi="Times New Roman" w:cs="Times New Roman"/>
          <w:i/>
          <w:sz w:val="24"/>
          <w:szCs w:val="24"/>
          <w:lang w:eastAsia="it-IT"/>
        </w:rPr>
        <w:t>L</w:t>
      </w:r>
      <w:r w:rsidRPr="003744E5">
        <w:rPr>
          <w:rFonts w:ascii="Times New Roman" w:hAnsi="Times New Roman" w:cs="Times New Roman"/>
          <w:i/>
          <w:sz w:val="24"/>
          <w:szCs w:val="24"/>
          <w:lang w:eastAsia="it-IT"/>
        </w:rPr>
        <w:t>oan</w:t>
      </w:r>
      <w:proofErr w:type="spellEnd"/>
      <w:r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 (</w:t>
      </w:r>
      <w:proofErr w:type="spellStart"/>
      <w:r w:rsidRPr="003744E5">
        <w:rPr>
          <w:rFonts w:ascii="Times New Roman" w:hAnsi="Times New Roman" w:cs="Times New Roman"/>
          <w:sz w:val="24"/>
          <w:szCs w:val="24"/>
          <w:lang w:eastAsia="it-IT"/>
        </w:rPr>
        <w:t>Npl</w:t>
      </w:r>
      <w:proofErr w:type="spellEnd"/>
      <w:r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), con una dimensione di 243 miliardi di euro e con uno dei peggiori rapporti di copertura del rischio, pari </w:t>
      </w:r>
      <w:r>
        <w:rPr>
          <w:rFonts w:ascii="Times New Roman" w:hAnsi="Times New Roman" w:cs="Times New Roman"/>
          <w:sz w:val="24"/>
          <w:szCs w:val="24"/>
          <w:lang w:eastAsia="it-IT"/>
        </w:rPr>
        <w:t>ad una media de</w:t>
      </w:r>
      <w:r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l 38,4%. 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Quanto al</w:t>
      </w:r>
      <w:r w:rsidRPr="003744E5">
        <w:rPr>
          <w:rFonts w:ascii="Times New Roman" w:eastAsia="Times New Roman" w:hAnsi="Times New Roman" w:cs="Century Gothic"/>
          <w:bCs/>
          <w:i/>
          <w:iCs/>
          <w:kern w:val="36"/>
          <w:sz w:val="24"/>
          <w:szCs w:val="24"/>
          <w:lang w:eastAsia="it-IT"/>
        </w:rPr>
        <w:t xml:space="preserve"> </w:t>
      </w:r>
      <w:proofErr w:type="spellStart"/>
      <w:r w:rsidRPr="003744E5">
        <w:rPr>
          <w:rFonts w:ascii="Times New Roman" w:eastAsia="Times New Roman" w:hAnsi="Times New Roman" w:cs="Century Gothic"/>
          <w:bCs/>
          <w:i/>
          <w:iCs/>
          <w:kern w:val="36"/>
          <w:sz w:val="24"/>
          <w:szCs w:val="24"/>
          <w:lang w:eastAsia="it-IT"/>
        </w:rPr>
        <w:t>coverage</w:t>
      </w:r>
      <w:proofErr w:type="spellEnd"/>
      <w:r w:rsidRPr="003744E5">
        <w:rPr>
          <w:rFonts w:ascii="Times New Roman" w:eastAsia="Times New Roman" w:hAnsi="Times New Roman" w:cs="Century Gothic"/>
          <w:bCs/>
          <w:i/>
          <w:iCs/>
          <w:kern w:val="36"/>
          <w:sz w:val="24"/>
          <w:szCs w:val="24"/>
          <w:lang w:eastAsia="it-IT"/>
        </w:rPr>
        <w:t xml:space="preserve"> ratio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(o</w:t>
      </w: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ssia 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la quantità di riserve utili a coprire i </w:t>
      </w:r>
      <w:r w:rsidRPr="003744E5">
        <w:rPr>
          <w:rFonts w:ascii="Times New Roman" w:eastAsia="Times New Roman" w:hAnsi="Times New Roman" w:cs="Century Gothic"/>
          <w:bCs/>
          <w:i/>
          <w:iCs/>
          <w:kern w:val="36"/>
          <w:sz w:val="24"/>
          <w:szCs w:val="24"/>
          <w:lang w:eastAsia="it-IT"/>
        </w:rPr>
        <w:t xml:space="preserve">non </w:t>
      </w:r>
      <w:proofErr w:type="spellStart"/>
      <w:r w:rsidRPr="003744E5">
        <w:rPr>
          <w:rFonts w:ascii="Times New Roman" w:eastAsia="Times New Roman" w:hAnsi="Times New Roman" w:cs="Century Gothic"/>
          <w:bCs/>
          <w:i/>
          <w:iCs/>
          <w:kern w:val="36"/>
          <w:sz w:val="24"/>
          <w:szCs w:val="24"/>
          <w:lang w:eastAsia="it-IT"/>
        </w:rPr>
        <w:t>performing</w:t>
      </w:r>
      <w:proofErr w:type="spellEnd"/>
      <w:r w:rsidRPr="003744E5">
        <w:rPr>
          <w:rFonts w:ascii="Times New Roman" w:eastAsia="Times New Roman" w:hAnsi="Times New Roman" w:cs="Century Gothic"/>
          <w:bCs/>
          <w:i/>
          <w:iCs/>
          <w:kern w:val="36"/>
          <w:sz w:val="24"/>
          <w:szCs w:val="24"/>
          <w:lang w:eastAsia="it-IT"/>
        </w:rPr>
        <w:t xml:space="preserve"> </w:t>
      </w:r>
      <w:proofErr w:type="spellStart"/>
      <w:r w:rsidRPr="003744E5">
        <w:rPr>
          <w:rFonts w:ascii="Times New Roman" w:eastAsia="Times New Roman" w:hAnsi="Times New Roman" w:cs="Century Gothic"/>
          <w:bCs/>
          <w:i/>
          <w:iCs/>
          <w:kern w:val="36"/>
          <w:sz w:val="24"/>
          <w:szCs w:val="24"/>
          <w:lang w:eastAsia="it-IT"/>
        </w:rPr>
        <w:t>loan</w:t>
      </w:r>
      <w:proofErr w:type="spellEnd"/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)</w:t>
      </w: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,siamo superati solo dal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la Spagna con il 37,4%, </w:t>
      </w: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il cui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stock di crediti deteriorati </w:t>
      </w: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pari a 184 miliardi è inferiore.  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La Francia ha  171 miliardi di </w:t>
      </w:r>
      <w:proofErr w:type="spellStart"/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Npl</w:t>
      </w:r>
      <w:proofErr w:type="spellEnd"/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e un </w:t>
      </w:r>
      <w:proofErr w:type="spellStart"/>
      <w:r w:rsidRPr="003744E5">
        <w:rPr>
          <w:rFonts w:ascii="Times New Roman" w:eastAsia="Times New Roman" w:hAnsi="Times New Roman" w:cs="Century Gothic"/>
          <w:bCs/>
          <w:i/>
          <w:iCs/>
          <w:kern w:val="36"/>
          <w:sz w:val="24"/>
          <w:szCs w:val="24"/>
          <w:lang w:eastAsia="it-IT"/>
        </w:rPr>
        <w:t>coverage</w:t>
      </w:r>
      <w:proofErr w:type="spellEnd"/>
      <w:r w:rsidRPr="003744E5">
        <w:rPr>
          <w:rFonts w:ascii="Times New Roman" w:eastAsia="Times New Roman" w:hAnsi="Times New Roman" w:cs="Century Gothic"/>
          <w:bCs/>
          <w:i/>
          <w:iCs/>
          <w:kern w:val="36"/>
          <w:sz w:val="24"/>
          <w:szCs w:val="24"/>
          <w:lang w:eastAsia="it-IT"/>
        </w:rPr>
        <w:t xml:space="preserve"> ratio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del 61%;</w:t>
      </w: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</w:t>
      </w:r>
      <w:r w:rsidR="00BA2E5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i</w:t>
      </w: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l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Regno Unito 146 miliardi </w:t>
      </w:r>
      <w:r w:rsidR="00BA2E5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pari al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58,3%.</w:t>
      </w:r>
      <w:r w:rsidR="00BA2E5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La migliore prova provata di banchieri italiani</w:t>
      </w:r>
      <w:r w:rsidR="00063863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, adusi ad </w:t>
      </w:r>
      <w:r w:rsidR="00BA2E5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eroga</w:t>
      </w:r>
      <w:r w:rsidR="00063863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re</w:t>
      </w:r>
      <w:r w:rsidR="00BA2E5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finanziamenti clientelari a gruppi amicali e combriccole di potere, negando i prestiti ai meritevoli, palla al piede a sviluppo e ripresa economica per superare la cattiva congiuntura e l’uscita dalla crisi sistemica generata dalle banche.</w:t>
      </w:r>
    </w:p>
    <w:p w:rsidR="00406F1D" w:rsidRDefault="00406F1D" w:rsidP="003744E5">
      <w:pPr>
        <w:spacing w:after="0" w:line="240" w:lineRule="auto"/>
        <w:jc w:val="left"/>
        <w:textAlignment w:val="baseline"/>
        <w:rPr>
          <w:rFonts w:ascii="Times New Roman" w:eastAsia="Times New Roman" w:hAnsi="Times New Roman" w:cs="Century Gothic"/>
          <w:b/>
          <w:iCs/>
          <w:kern w:val="36"/>
          <w:sz w:val="24"/>
          <w:szCs w:val="24"/>
          <w:bdr w:val="none" w:sz="0" w:space="0" w:color="auto" w:frame="1"/>
          <w:lang w:eastAsia="it-IT"/>
        </w:rPr>
      </w:pPr>
    </w:p>
    <w:p w:rsidR="003744E5" w:rsidRPr="003744E5" w:rsidRDefault="003744E5" w:rsidP="003744E5">
      <w:pPr>
        <w:spacing w:after="0" w:line="240" w:lineRule="auto"/>
        <w:jc w:val="left"/>
        <w:textAlignment w:val="baseline"/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</w:pPr>
      <w:r w:rsidRPr="003744E5">
        <w:rPr>
          <w:rFonts w:ascii="Times New Roman" w:eastAsia="Times New Roman" w:hAnsi="Times New Roman" w:cs="Century Gothic"/>
          <w:b/>
          <w:iCs/>
          <w:kern w:val="36"/>
          <w:sz w:val="24"/>
          <w:szCs w:val="24"/>
          <w:bdr w:val="none" w:sz="0" w:space="0" w:color="auto" w:frame="1"/>
          <w:lang w:eastAsia="it-IT"/>
        </w:rPr>
        <w:t>UNICREDIT</w:t>
      </w:r>
      <w:r w:rsidR="0032701C">
        <w:rPr>
          <w:rFonts w:ascii="Times New Roman" w:eastAsia="Times New Roman" w:hAnsi="Times New Roman" w:cs="Century Gothic"/>
          <w:b/>
          <w:iCs/>
          <w:kern w:val="36"/>
          <w:sz w:val="24"/>
          <w:szCs w:val="24"/>
          <w:bdr w:val="none" w:sz="0" w:space="0" w:color="auto" w:frame="1"/>
          <w:lang w:eastAsia="it-IT"/>
        </w:rPr>
        <w:t xml:space="preserve">, </w:t>
      </w:r>
      <w:r w:rsidR="003F1F77">
        <w:rPr>
          <w:rFonts w:ascii="Times New Roman" w:eastAsia="Times New Roman" w:hAnsi="Times New Roman" w:cs="Century Gothic"/>
          <w:b/>
          <w:iCs/>
          <w:kern w:val="36"/>
          <w:sz w:val="24"/>
          <w:szCs w:val="24"/>
          <w:bdr w:val="none" w:sz="0" w:space="0" w:color="auto" w:frame="1"/>
          <w:lang w:eastAsia="it-IT"/>
        </w:rPr>
        <w:t xml:space="preserve"> </w:t>
      </w:r>
      <w:r w:rsidR="0032701C">
        <w:rPr>
          <w:rFonts w:ascii="Times New Roman" w:eastAsia="Times New Roman" w:hAnsi="Times New Roman" w:cs="Century Gothic"/>
          <w:b/>
          <w:iCs/>
          <w:kern w:val="36"/>
          <w:sz w:val="24"/>
          <w:szCs w:val="24"/>
          <w:bdr w:val="none" w:sz="0" w:space="0" w:color="auto" w:frame="1"/>
          <w:lang w:eastAsia="it-IT"/>
        </w:rPr>
        <w:t>LA BANCA PIU’ INCAGLIATA</w:t>
      </w:r>
    </w:p>
    <w:p w:rsidR="003744E5" w:rsidRPr="003744E5" w:rsidRDefault="003744E5" w:rsidP="003744E5">
      <w:pPr>
        <w:spacing w:after="0" w:line="240" w:lineRule="auto"/>
        <w:textAlignment w:val="baseline"/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</w:pP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La </w:t>
      </w:r>
      <w:r w:rsidR="00063863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massa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di 243 miliardi di crediti scaduti, ristrutturati, incagli</w:t>
      </w:r>
      <w:r w:rsidR="00063863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ati o girati a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sofferenz</w:t>
      </w:r>
      <w:r w:rsidR="00063863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a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è </w:t>
      </w:r>
      <w:r w:rsidR="00063863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così divisa secondo lo studio UBS: 55,9 miliardi di euro (pari a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l 23%</w:t>
      </w:r>
      <w:r w:rsidR="00063863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)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</w:t>
      </w:r>
      <w:r w:rsidR="005F5A1E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sono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</w:t>
      </w:r>
      <w:r w:rsidR="005F5A1E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appannaggio di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 </w:t>
      </w:r>
      <w:r w:rsidRPr="00BC3E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Unicredit</w:t>
      </w:r>
      <w:r w:rsidR="00063863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; seguita da Banca Intesa con 48,6 miliardi (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20%</w:t>
      </w:r>
      <w:r w:rsidR="00063863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); al terzo posto </w:t>
      </w:r>
      <w:proofErr w:type="spellStart"/>
      <w:r w:rsidR="00063863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Mps</w:t>
      </w:r>
      <w:proofErr w:type="spellEnd"/>
      <w:r w:rsidR="00063863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con 29,3 miliardi ed il 12%; al quarto Banco Popolare con 17 miliardi ed il 7%; al quinto </w:t>
      </w:r>
      <w:proofErr w:type="spellStart"/>
      <w:r w:rsidR="00063863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Ubi</w:t>
      </w:r>
      <w:proofErr w:type="spellEnd"/>
      <w:r w:rsidR="00063863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Banca con 12,2 miliardi ed il 5%; al sesto Banco Popolare Emilia Romagna con 7,3 miliardi ed il 3%</w:t>
      </w:r>
      <w:r w:rsidR="00BC3E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con il restante 30% spalmato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tra le altre banche minori. </w:t>
      </w:r>
      <w:r w:rsidR="00BC3E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I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l risultato –</w:t>
      </w:r>
      <w:r w:rsidR="00BC3E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scrive UBS- 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è un impatto negativo sulla percezione del rischio e</w:t>
      </w:r>
      <w:r w:rsidR="00BC3E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d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</w:t>
      </w:r>
      <w:r w:rsidR="00BC3E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i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livelli di valutazione, con le banche che hanno il maggior stock di crediti deteriorati</w:t>
      </w: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, destinati  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ad aumentare significativamente nel 2013</w:t>
      </w:r>
      <w:r w:rsidR="00BC3E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,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 con un tasso annuo di crescita composto (</w:t>
      </w:r>
      <w:proofErr w:type="spellStart"/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Cagr</w:t>
      </w:r>
      <w:proofErr w:type="spellEnd"/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) dell’11%. </w:t>
      </w:r>
      <w:r w:rsidR="005F5A1E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T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ra il 2008 e il 2012 la quota di </w:t>
      </w:r>
      <w:proofErr w:type="spellStart"/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Npl</w:t>
      </w:r>
      <w:proofErr w:type="spellEnd"/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lordi è aumentata con un </w:t>
      </w:r>
      <w:proofErr w:type="spellStart"/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Cagr</w:t>
      </w:r>
      <w:proofErr w:type="spellEnd"/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del 31%,</w:t>
      </w:r>
      <w:r w:rsidR="00BC3E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che potrebbe 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raggiunge</w:t>
      </w:r>
      <w:r w:rsidR="00BC3E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re</w:t>
      </w:r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a dicembre 2013 il valore record di 125 miliardi, mentre il rapporto tra </w:t>
      </w:r>
      <w:proofErr w:type="spellStart"/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Npl</w:t>
      </w:r>
      <w:proofErr w:type="spellEnd"/>
      <w:r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netto e crediti alla clientela è passato dall’1,3% al 3,9%.</w:t>
      </w:r>
    </w:p>
    <w:p w:rsidR="003744E5" w:rsidRPr="003744E5" w:rsidRDefault="00987FE0" w:rsidP="003744E5">
      <w:pPr>
        <w:spacing w:after="0" w:line="240" w:lineRule="auto"/>
        <w:jc w:val="left"/>
        <w:textAlignment w:val="baseline"/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</w:pPr>
      <w:r>
        <w:rPr>
          <w:rFonts w:ascii="Times New Roman" w:eastAsiaTheme="minorEastAsia" w:hAnsi="Times New Roman" w:cs="Century Gothic"/>
          <w:b/>
          <w:iCs/>
          <w:kern w:val="36"/>
          <w:sz w:val="24"/>
          <w:szCs w:val="24"/>
          <w:bdr w:val="none" w:sz="0" w:space="0" w:color="auto" w:frame="1"/>
          <w:lang w:eastAsia="it-IT"/>
        </w:rPr>
        <w:t xml:space="preserve">LE </w:t>
      </w:r>
      <w:r w:rsidR="003744E5" w:rsidRPr="003744E5">
        <w:rPr>
          <w:rFonts w:ascii="Times New Roman" w:eastAsiaTheme="minorEastAsia" w:hAnsi="Times New Roman" w:cs="Century Gothic"/>
          <w:b/>
          <w:iCs/>
          <w:kern w:val="36"/>
          <w:sz w:val="24"/>
          <w:szCs w:val="24"/>
          <w:bdr w:val="none" w:sz="0" w:space="0" w:color="auto" w:frame="1"/>
          <w:lang w:eastAsia="it-IT"/>
        </w:rPr>
        <w:t>BANCHE</w:t>
      </w:r>
      <w:r>
        <w:rPr>
          <w:rFonts w:ascii="Times New Roman" w:eastAsiaTheme="minorEastAsia" w:hAnsi="Times New Roman" w:cs="Century Gothic"/>
          <w:b/>
          <w:iCs/>
          <w:kern w:val="36"/>
          <w:sz w:val="24"/>
          <w:szCs w:val="24"/>
          <w:bdr w:val="none" w:sz="0" w:space="0" w:color="auto" w:frame="1"/>
          <w:lang w:eastAsia="it-IT"/>
        </w:rPr>
        <w:t xml:space="preserve"> PIU’ PRUDENTI E </w:t>
      </w:r>
      <w:r w:rsidR="007B6622">
        <w:rPr>
          <w:rFonts w:ascii="Times New Roman" w:eastAsiaTheme="minorEastAsia" w:hAnsi="Times New Roman" w:cs="Century Gothic"/>
          <w:b/>
          <w:iCs/>
          <w:kern w:val="36"/>
          <w:sz w:val="24"/>
          <w:szCs w:val="24"/>
          <w:bdr w:val="none" w:sz="0" w:space="0" w:color="auto" w:frame="1"/>
          <w:lang w:eastAsia="it-IT"/>
        </w:rPr>
        <w:t>L</w:t>
      </w:r>
      <w:r>
        <w:rPr>
          <w:rFonts w:ascii="Times New Roman" w:eastAsiaTheme="minorEastAsia" w:hAnsi="Times New Roman" w:cs="Century Gothic"/>
          <w:b/>
          <w:iCs/>
          <w:kern w:val="36"/>
          <w:sz w:val="24"/>
          <w:szCs w:val="24"/>
          <w:bdr w:val="none" w:sz="0" w:space="0" w:color="auto" w:frame="1"/>
          <w:lang w:eastAsia="it-IT"/>
        </w:rPr>
        <w:t xml:space="preserve">E PIU’  ALLEGRE NELL’EROGAZIONE </w:t>
      </w:r>
      <w:r w:rsidR="007B6622">
        <w:rPr>
          <w:rFonts w:ascii="Times New Roman" w:eastAsiaTheme="minorEastAsia" w:hAnsi="Times New Roman" w:cs="Century Gothic"/>
          <w:b/>
          <w:iCs/>
          <w:kern w:val="36"/>
          <w:sz w:val="24"/>
          <w:szCs w:val="24"/>
          <w:bdr w:val="none" w:sz="0" w:space="0" w:color="auto" w:frame="1"/>
          <w:lang w:eastAsia="it-IT"/>
        </w:rPr>
        <w:t xml:space="preserve">DEI </w:t>
      </w:r>
      <w:r>
        <w:rPr>
          <w:rFonts w:ascii="Times New Roman" w:eastAsiaTheme="minorEastAsia" w:hAnsi="Times New Roman" w:cs="Century Gothic"/>
          <w:b/>
          <w:iCs/>
          <w:kern w:val="36"/>
          <w:sz w:val="24"/>
          <w:szCs w:val="24"/>
          <w:bdr w:val="none" w:sz="0" w:space="0" w:color="auto" w:frame="1"/>
          <w:lang w:eastAsia="it-IT"/>
        </w:rPr>
        <w:t>FIDI</w:t>
      </w:r>
    </w:p>
    <w:p w:rsidR="003744E5" w:rsidRPr="003744E5" w:rsidRDefault="00987FE0" w:rsidP="003744E5">
      <w:pPr>
        <w:spacing w:after="0" w:line="240" w:lineRule="auto"/>
        <w:textAlignment w:val="baseline"/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</w:pP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   </w:t>
      </w:r>
      <w:r w:rsidR="005F5A1E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Nel rapporto tra crediti deteriorati sui </w:t>
      </w:r>
      <w:r w:rsidR="0050041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prestiti totali </w:t>
      </w:r>
      <w:r w:rsidR="005F5A1E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alla clientela </w:t>
      </w:r>
      <w:r w:rsidR="0050041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(</w:t>
      </w:r>
      <w:proofErr w:type="spellStart"/>
      <w:r w:rsidR="0050041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Npl</w:t>
      </w:r>
      <w:proofErr w:type="spellEnd"/>
      <w:r w:rsidR="0050041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netti) </w:t>
      </w:r>
      <w:r w:rsidR="005F5A1E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che misura la capacità dei banchieri di valutare la </w:t>
      </w:r>
      <w:proofErr w:type="spellStart"/>
      <w:r w:rsidR="005F5A1E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meritorietà</w:t>
      </w:r>
      <w:proofErr w:type="spellEnd"/>
      <w:r w:rsidR="005F5A1E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del credito, la più virtuosa è Mediobanca con lo 0,6%; la più allegra è Unipol con il 6,3%, seguita da MPS (5%); </w:t>
      </w:r>
      <w:proofErr w:type="spellStart"/>
      <w:r w:rsidR="005F5A1E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Bnl</w:t>
      </w:r>
      <w:proofErr w:type="spellEnd"/>
      <w:r w:rsidR="005F5A1E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(4,5%); Unicredit (3,5% uguale alla media); Intesa San Paolo</w:t>
      </w:r>
      <w:r w:rsidR="0050041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al</w:t>
      </w:r>
      <w:r w:rsidR="005F5A1E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3%</w:t>
      </w:r>
      <w:r w:rsidR="0050041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. </w:t>
      </w:r>
    </w:p>
    <w:p w:rsidR="003744E5" w:rsidRPr="003744E5" w:rsidRDefault="0050041C" w:rsidP="003744E5">
      <w:pPr>
        <w:spacing w:after="0" w:line="240" w:lineRule="auto"/>
        <w:textAlignment w:val="baseline"/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</w:pP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  </w:t>
      </w:r>
      <w:r w:rsidR="00FE4669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In merito al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rapporto tra le riserve e il totale degli </w:t>
      </w:r>
      <w:proofErr w:type="spellStart"/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Npl</w:t>
      </w:r>
      <w:proofErr w:type="spellEnd"/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lordi</w:t>
      </w: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, </w:t>
      </w:r>
      <w:proofErr w:type="spellStart"/>
      <w:r w:rsidRPr="00987FE0">
        <w:rPr>
          <w:rFonts w:ascii="Times New Roman" w:eastAsia="Times New Roman" w:hAnsi="Times New Roman" w:cs="Century Gothic"/>
          <w:bCs/>
          <w:i/>
          <w:iCs/>
          <w:kern w:val="36"/>
          <w:sz w:val="24"/>
          <w:szCs w:val="24"/>
          <w:lang w:eastAsia="it-IT"/>
        </w:rPr>
        <w:t>coverage</w:t>
      </w:r>
      <w:proofErr w:type="spellEnd"/>
      <w:r w:rsidRPr="00987FE0">
        <w:rPr>
          <w:rFonts w:ascii="Times New Roman" w:eastAsia="Times New Roman" w:hAnsi="Times New Roman" w:cs="Century Gothic"/>
          <w:bCs/>
          <w:i/>
          <w:iCs/>
          <w:kern w:val="36"/>
          <w:sz w:val="24"/>
          <w:szCs w:val="24"/>
          <w:lang w:eastAsia="it-IT"/>
        </w:rPr>
        <w:t xml:space="preserve"> ratio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, </w:t>
      </w:r>
      <w:r w:rsidR="00FE4669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si registra una media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del 55,3%, </w:t>
      </w:r>
      <w:r w:rsidR="00FE4669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i cui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valori </w:t>
      </w:r>
      <w:r w:rsidR="00FE4669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variano 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dal 32,3% di </w:t>
      </w:r>
      <w:r w:rsidR="003744E5" w:rsidRP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Banca Marche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 al 70% di </w:t>
      </w:r>
      <w:proofErr w:type="spellStart"/>
      <w:r w:rsidR="003744E5" w:rsidRP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Deutsche</w:t>
      </w:r>
      <w:proofErr w:type="spellEnd"/>
      <w:r w:rsidR="003744E5" w:rsidRP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</w:t>
      </w:r>
      <w:proofErr w:type="spellStart"/>
      <w:r w:rsidR="003744E5" w:rsidRP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Bank</w:t>
      </w:r>
      <w:proofErr w:type="spellEnd"/>
      <w:r w:rsidR="00FE4669" w:rsidRP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, 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Intesa</w:t>
      </w:r>
      <w:r w:rsidR="00FE4669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e </w:t>
      </w:r>
      <w:proofErr w:type="spellStart"/>
      <w:r w:rsidR="00FE4669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Bnl</w:t>
      </w:r>
      <w:proofErr w:type="spellEnd"/>
      <w:r w:rsidR="00FE4669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con il 60%,Mps</w:t>
      </w:r>
      <w:r w:rsidR="00FE4669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ed Unicredit a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l 55%</w:t>
      </w:r>
      <w:r w:rsidR="00FE4669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; </w:t>
      </w:r>
      <w:proofErr w:type="spellStart"/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Ubi</w:t>
      </w:r>
      <w:proofErr w:type="spellEnd"/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</w:t>
      </w:r>
      <w:r w:rsid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B</w:t>
      </w:r>
      <w:r w:rsidR="00FE4669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anca 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ha un </w:t>
      </w:r>
      <w:proofErr w:type="spellStart"/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coverage</w:t>
      </w:r>
      <w:proofErr w:type="spellEnd"/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</w:t>
      </w:r>
      <w:r w:rsidR="00FE4669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del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45%</w:t>
      </w:r>
      <w:r w:rsidR="00FE4669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; 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Banco Popolare</w:t>
      </w:r>
      <w:r w:rsidR="00FE4669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del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40%.</w:t>
      </w:r>
    </w:p>
    <w:p w:rsidR="003744E5" w:rsidRDefault="00987FE0" w:rsidP="003744E5">
      <w:pPr>
        <w:spacing w:after="0" w:line="240" w:lineRule="auto"/>
        <w:jc w:val="left"/>
        <w:textAlignment w:val="baseline"/>
        <w:rPr>
          <w:rFonts w:ascii="Times New Roman" w:eastAsia="Times New Roman" w:hAnsi="Times New Roman" w:cs="Century Gothic"/>
          <w:b/>
          <w:iCs/>
          <w:kern w:val="36"/>
          <w:sz w:val="24"/>
          <w:szCs w:val="24"/>
          <w:bdr w:val="none" w:sz="0" w:space="0" w:color="auto" w:frame="1"/>
          <w:lang w:eastAsia="it-IT"/>
        </w:rPr>
      </w:pPr>
      <w:r>
        <w:rPr>
          <w:rFonts w:ascii="Times New Roman" w:eastAsia="Times New Roman" w:hAnsi="Times New Roman" w:cs="Century Gothic"/>
          <w:b/>
          <w:iCs/>
          <w:kern w:val="36"/>
          <w:sz w:val="24"/>
          <w:szCs w:val="24"/>
          <w:bdr w:val="none" w:sz="0" w:space="0" w:color="auto" w:frame="1"/>
          <w:lang w:eastAsia="it-IT"/>
        </w:rPr>
        <w:t>BANCO POPOLARE,BPM E CARIGE SI  SONO MANGIATE  L’INTERO PATRIMONIO</w:t>
      </w:r>
    </w:p>
    <w:p w:rsidR="003744E5" w:rsidRDefault="00FE4669" w:rsidP="00BC3EE5">
      <w:pPr>
        <w:spacing w:after="0" w:line="240" w:lineRule="auto"/>
        <w:textAlignment w:val="baseline"/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</w:pP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Altro dato che dimostra la pessima gestione creditizia </w:t>
      </w:r>
      <w:r w:rsid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dei signori banchieri </w:t>
      </w: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è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il rapporto tra crediti </w:t>
      </w:r>
      <w:proofErr w:type="spellStart"/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Npl</w:t>
      </w:r>
      <w:proofErr w:type="spellEnd"/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e Core </w:t>
      </w:r>
      <w:proofErr w:type="spellStart"/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Tier</w:t>
      </w:r>
      <w:proofErr w:type="spellEnd"/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1, principale indicatore patrimoniale de</w:t>
      </w: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lle banche</w:t>
      </w:r>
      <w:r w:rsid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.</w:t>
      </w: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</w:t>
      </w:r>
      <w:r w:rsidR="003744E5" w:rsidRPr="00BC3E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Banco Popolare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</w:t>
      </w:r>
      <w:r w:rsidR="00074441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ha il record negativo con l’87,7% 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seguito </w:t>
      </w:r>
      <w:r w:rsidR="00074441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da BPM 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con l’82,6%</w:t>
      </w:r>
      <w:r w:rsidR="00074441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e da Carige</w:t>
      </w:r>
      <w:r w:rsid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,</w:t>
      </w:r>
      <w:r w:rsidR="00074441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che si piazza al terzo posto 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con il 72,6%</w:t>
      </w:r>
      <w:r w:rsid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: i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crediti deteriorati </w:t>
      </w:r>
      <w:r w:rsid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di queste 3 banche hanno mangiato 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l’</w:t>
      </w:r>
      <w:r w:rsid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i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ntero patrimonio.</w:t>
      </w:r>
      <w:r w:rsid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Seguono </w:t>
      </w:r>
      <w:proofErr w:type="spellStart"/>
      <w:r w:rsid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Bper</w:t>
      </w:r>
      <w:proofErr w:type="spellEnd"/>
      <w:r w:rsid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con il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61,7%</w:t>
      </w:r>
      <w:r w:rsid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; </w:t>
      </w:r>
      <w:r w:rsidR="003744E5" w:rsidRPr="00BC3E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Unicredit</w:t>
      </w:r>
      <w:r w:rsid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con il 44,3%;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 </w:t>
      </w:r>
      <w:proofErr w:type="spellStart"/>
      <w:r w:rsidR="003744E5" w:rsidRPr="00BC3E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Ubi</w:t>
      </w:r>
      <w:proofErr w:type="spellEnd"/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 </w:t>
      </w:r>
      <w:r w:rsid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banca col 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43%</w:t>
      </w:r>
      <w:r w:rsid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; </w:t>
      </w:r>
      <w:r w:rsidR="003744E5" w:rsidRPr="00BC3E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 Intesa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 </w:t>
      </w:r>
      <w:r w:rsidR="00987FE0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San Paolo con il</w:t>
      </w:r>
      <w:r w:rsidR="003744E5" w:rsidRPr="003744E5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37,8%. </w:t>
      </w:r>
    </w:p>
    <w:p w:rsidR="0032701C" w:rsidRDefault="007B6622" w:rsidP="00BC3EE5">
      <w:pPr>
        <w:spacing w:after="0" w:line="240" w:lineRule="auto"/>
        <w:textAlignment w:val="baseline"/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</w:pP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A fronte di questa disastrosa gestione del credito e del risparmio, che non lascia margini a dubbi e giustificazioni e che dovrebbe indurre Banca d’Italia a chiedere conto ai banchieri perché utilizzano i sudati risparmi degli italiani per finanziare le aziende decotte fatte di amici e compari come  </w:t>
      </w:r>
      <w:proofErr w:type="spellStart"/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Zalesky</w:t>
      </w:r>
      <w:proofErr w:type="spellEnd"/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, </w:t>
      </w:r>
      <w:proofErr w:type="spellStart"/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Zunino,Ligresti</w:t>
      </w:r>
      <w:proofErr w:type="spellEnd"/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invece di offrire credito ad imprenditori meritevoli, Adusbef e Federconsumatori chiedono</w:t>
      </w:r>
      <w:r w:rsidR="0032701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al Governo,</w:t>
      </w: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</w:t>
      </w:r>
      <w:r w:rsidR="0032701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sempre più </w:t>
      </w: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a braccetto </w:t>
      </w:r>
      <w:r w:rsidR="0032701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con le banche amiche nell’assecondare i loro desiderata, come la rivalutazione delle quote di </w:t>
      </w:r>
      <w:proofErr w:type="spellStart"/>
      <w:r w:rsidR="0032701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Bankitalia</w:t>
      </w:r>
      <w:proofErr w:type="spellEnd"/>
      <w:r w:rsidR="0032701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ed il regalo fiscale di 19,4 miliardi di euro inserito nella legge di stabilità, di sanzionare una gestione imprudente che danneggia le </w:t>
      </w:r>
      <w:proofErr w:type="spellStart"/>
      <w:r w:rsidR="0032701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>Pmi</w:t>
      </w:r>
      <w:proofErr w:type="spellEnd"/>
      <w:r w:rsidR="0032701C"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e le famiglie, nuocendo gravemente all’economia italiana.</w:t>
      </w:r>
    </w:p>
    <w:p w:rsidR="0032701C" w:rsidRDefault="0032701C" w:rsidP="00BC3EE5">
      <w:pPr>
        <w:spacing w:after="0" w:line="240" w:lineRule="auto"/>
        <w:textAlignment w:val="baseline"/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</w:pPr>
    </w:p>
    <w:p w:rsidR="0032701C" w:rsidRDefault="0032701C" w:rsidP="00BC3EE5">
      <w:pPr>
        <w:spacing w:after="0" w:line="240" w:lineRule="auto"/>
        <w:textAlignment w:val="baseline"/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</w:pP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                                                       Elio Lannutti (Adusbef) – Rosario Trefiletti (Federconsumatori)  </w:t>
      </w:r>
    </w:p>
    <w:p w:rsidR="007B6622" w:rsidRDefault="0032701C" w:rsidP="00BC3EE5">
      <w:pPr>
        <w:spacing w:after="0" w:line="240" w:lineRule="auto"/>
        <w:textAlignment w:val="baseline"/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</w:pPr>
      <w:r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  <w:t xml:space="preserve">Roma,14.12.2013                 </w:t>
      </w:r>
    </w:p>
    <w:p w:rsidR="00987FE0" w:rsidRPr="003744E5" w:rsidRDefault="00987FE0" w:rsidP="00BC3EE5">
      <w:pPr>
        <w:spacing w:after="0" w:line="240" w:lineRule="auto"/>
        <w:textAlignment w:val="baseline"/>
        <w:rPr>
          <w:rFonts w:ascii="Times New Roman" w:eastAsia="Times New Roman" w:hAnsi="Times New Roman" w:cs="Century Gothic"/>
          <w:bCs/>
          <w:iCs/>
          <w:kern w:val="36"/>
          <w:sz w:val="24"/>
          <w:szCs w:val="24"/>
          <w:lang w:eastAsia="it-IT"/>
        </w:rPr>
      </w:pPr>
    </w:p>
    <w:p w:rsidR="003744E5" w:rsidRDefault="003744E5" w:rsidP="003744E5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  <w:r w:rsidRPr="003744E5">
        <w:rPr>
          <w:rFonts w:ascii="Times New Roman" w:hAnsi="Times New Roman" w:cs="Times New Roman"/>
          <w:sz w:val="24"/>
          <w:szCs w:val="24"/>
          <w:lang w:eastAsia="it-IT"/>
        </w:rPr>
        <w:t>Crediti Deteriorati pari a 243 miliardi di euro</w:t>
      </w:r>
    </w:p>
    <w:p w:rsidR="00987FE0" w:rsidRDefault="00987FE0" w:rsidP="003744E5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</w:p>
    <w:p w:rsidR="00987FE0" w:rsidRPr="003744E5" w:rsidRDefault="00987FE0" w:rsidP="003744E5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44"/>
        <w:gridCol w:w="2445"/>
      </w:tblGrid>
      <w:tr w:rsidR="003744E5" w:rsidRPr="003744E5" w:rsidTr="002A17F0">
        <w:tc>
          <w:tcPr>
            <w:tcW w:w="2444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Unicredit</w:t>
            </w:r>
          </w:p>
        </w:tc>
        <w:tc>
          <w:tcPr>
            <w:tcW w:w="2445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 xml:space="preserve">23 % (55,9 </w:t>
            </w:r>
            <w:proofErr w:type="spellStart"/>
            <w:r w:rsidRPr="003744E5">
              <w:rPr>
                <w:rFonts w:cs="Times New Roman"/>
                <w:sz w:val="24"/>
                <w:szCs w:val="24"/>
              </w:rPr>
              <w:t>mld</w:t>
            </w:r>
            <w:proofErr w:type="spellEnd"/>
            <w:r w:rsidRPr="003744E5">
              <w:rPr>
                <w:rFonts w:cs="Times New Roman"/>
                <w:sz w:val="24"/>
                <w:szCs w:val="24"/>
              </w:rPr>
              <w:t>)</w:t>
            </w:r>
          </w:p>
        </w:tc>
      </w:tr>
      <w:tr w:rsidR="003744E5" w:rsidRPr="003744E5" w:rsidTr="002A17F0">
        <w:tc>
          <w:tcPr>
            <w:tcW w:w="2444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proofErr w:type="spellStart"/>
            <w:r w:rsidRPr="003744E5">
              <w:rPr>
                <w:rFonts w:cs="Times New Roman"/>
                <w:sz w:val="24"/>
                <w:szCs w:val="24"/>
              </w:rPr>
              <w:t>IntesaSanPaolo</w:t>
            </w:r>
            <w:proofErr w:type="spellEnd"/>
          </w:p>
        </w:tc>
        <w:tc>
          <w:tcPr>
            <w:tcW w:w="2445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 xml:space="preserve">20% (48,6 </w:t>
            </w:r>
            <w:proofErr w:type="spellStart"/>
            <w:r w:rsidRPr="003744E5">
              <w:rPr>
                <w:rFonts w:cs="Times New Roman"/>
                <w:sz w:val="24"/>
                <w:szCs w:val="24"/>
              </w:rPr>
              <w:t>mld</w:t>
            </w:r>
            <w:proofErr w:type="spellEnd"/>
            <w:r w:rsidRPr="003744E5">
              <w:rPr>
                <w:rFonts w:cs="Times New Roman"/>
                <w:sz w:val="24"/>
                <w:szCs w:val="24"/>
              </w:rPr>
              <w:t>)</w:t>
            </w:r>
          </w:p>
        </w:tc>
      </w:tr>
      <w:tr w:rsidR="003744E5" w:rsidRPr="003744E5" w:rsidTr="002A17F0">
        <w:tc>
          <w:tcPr>
            <w:tcW w:w="2444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MPS</w:t>
            </w:r>
          </w:p>
        </w:tc>
        <w:tc>
          <w:tcPr>
            <w:tcW w:w="2445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 xml:space="preserve">12% (29,3 </w:t>
            </w:r>
            <w:proofErr w:type="spellStart"/>
            <w:r w:rsidRPr="003744E5">
              <w:rPr>
                <w:rFonts w:cs="Times New Roman"/>
                <w:sz w:val="24"/>
                <w:szCs w:val="24"/>
              </w:rPr>
              <w:t>mld</w:t>
            </w:r>
            <w:proofErr w:type="spellEnd"/>
            <w:r w:rsidRPr="003744E5">
              <w:rPr>
                <w:rFonts w:cs="Times New Roman"/>
                <w:sz w:val="24"/>
                <w:szCs w:val="24"/>
              </w:rPr>
              <w:t>)</w:t>
            </w:r>
          </w:p>
        </w:tc>
      </w:tr>
      <w:tr w:rsidR="003744E5" w:rsidRPr="003744E5" w:rsidTr="002A17F0">
        <w:tc>
          <w:tcPr>
            <w:tcW w:w="2444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Banco Popolare</w:t>
            </w:r>
          </w:p>
        </w:tc>
        <w:tc>
          <w:tcPr>
            <w:tcW w:w="2445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 xml:space="preserve">7% (17,0 </w:t>
            </w:r>
            <w:proofErr w:type="spellStart"/>
            <w:r w:rsidRPr="003744E5">
              <w:rPr>
                <w:rFonts w:cs="Times New Roman"/>
                <w:sz w:val="24"/>
                <w:szCs w:val="24"/>
              </w:rPr>
              <w:t>mld</w:t>
            </w:r>
            <w:proofErr w:type="spellEnd"/>
            <w:r w:rsidRPr="003744E5">
              <w:rPr>
                <w:rFonts w:cs="Times New Roman"/>
                <w:sz w:val="24"/>
                <w:szCs w:val="24"/>
              </w:rPr>
              <w:t>)</w:t>
            </w:r>
          </w:p>
        </w:tc>
      </w:tr>
      <w:tr w:rsidR="003744E5" w:rsidRPr="003744E5" w:rsidTr="002A17F0">
        <w:tc>
          <w:tcPr>
            <w:tcW w:w="2444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UBI</w:t>
            </w:r>
          </w:p>
        </w:tc>
        <w:tc>
          <w:tcPr>
            <w:tcW w:w="2445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 xml:space="preserve">5% (12,2 </w:t>
            </w:r>
            <w:proofErr w:type="spellStart"/>
            <w:r w:rsidRPr="003744E5">
              <w:rPr>
                <w:rFonts w:cs="Times New Roman"/>
                <w:sz w:val="24"/>
                <w:szCs w:val="24"/>
              </w:rPr>
              <w:t>mld</w:t>
            </w:r>
            <w:proofErr w:type="spellEnd"/>
            <w:r w:rsidRPr="003744E5">
              <w:rPr>
                <w:rFonts w:cs="Times New Roman"/>
                <w:sz w:val="24"/>
                <w:szCs w:val="24"/>
              </w:rPr>
              <w:t>)</w:t>
            </w:r>
          </w:p>
        </w:tc>
      </w:tr>
      <w:tr w:rsidR="003744E5" w:rsidRPr="003744E5" w:rsidTr="002A17F0">
        <w:tc>
          <w:tcPr>
            <w:tcW w:w="2444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Banco Pop. Emilia R.</w:t>
            </w:r>
          </w:p>
        </w:tc>
        <w:tc>
          <w:tcPr>
            <w:tcW w:w="2445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 xml:space="preserve">3% (7,3 </w:t>
            </w:r>
            <w:proofErr w:type="spellStart"/>
            <w:r w:rsidRPr="003744E5">
              <w:rPr>
                <w:rFonts w:cs="Times New Roman"/>
                <w:sz w:val="24"/>
                <w:szCs w:val="24"/>
              </w:rPr>
              <w:t>mld</w:t>
            </w:r>
            <w:proofErr w:type="spellEnd"/>
            <w:r w:rsidRPr="003744E5">
              <w:rPr>
                <w:rFonts w:cs="Times New Roman"/>
                <w:sz w:val="24"/>
                <w:szCs w:val="24"/>
              </w:rPr>
              <w:t>)</w:t>
            </w:r>
          </w:p>
        </w:tc>
      </w:tr>
    </w:tbl>
    <w:p w:rsidR="003744E5" w:rsidRPr="003744E5" w:rsidRDefault="003744E5" w:rsidP="003744E5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</w:p>
    <w:p w:rsidR="00987FE0" w:rsidRDefault="00987FE0" w:rsidP="003744E5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</w:p>
    <w:p w:rsidR="0032701C" w:rsidRDefault="0032701C" w:rsidP="003744E5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</w:p>
    <w:p w:rsidR="003744E5" w:rsidRPr="003744E5" w:rsidRDefault="003744E5" w:rsidP="003744E5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  <w:r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Rapporto Crediti deteriorati su Crediti alla clientela </w:t>
      </w:r>
    </w:p>
    <w:p w:rsidR="003744E5" w:rsidRPr="003744E5" w:rsidRDefault="003744E5" w:rsidP="003744E5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76"/>
        <w:gridCol w:w="2552"/>
      </w:tblGrid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Unipol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6,3%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MPS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5%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BNL</w:t>
            </w:r>
            <w:r w:rsidRPr="003744E5">
              <w:rPr>
                <w:rFonts w:cs="Times New Roman"/>
                <w:sz w:val="24"/>
                <w:szCs w:val="24"/>
              </w:rPr>
              <w:tab/>
            </w:r>
            <w:r w:rsidRPr="003744E5">
              <w:rPr>
                <w:rFonts w:cs="Times New Roman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4,5%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Unicredit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3,5%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Intesa</w:t>
            </w:r>
            <w:r w:rsidR="00BC3EE5">
              <w:rPr>
                <w:rFonts w:cs="Times New Roman"/>
                <w:sz w:val="24"/>
                <w:szCs w:val="24"/>
              </w:rPr>
              <w:t xml:space="preserve"> </w:t>
            </w:r>
            <w:r w:rsidRPr="003744E5">
              <w:rPr>
                <w:rFonts w:cs="Times New Roman"/>
                <w:sz w:val="24"/>
                <w:szCs w:val="24"/>
              </w:rPr>
              <w:t>San</w:t>
            </w:r>
            <w:r w:rsidR="00BC3EE5">
              <w:rPr>
                <w:rFonts w:cs="Times New Roman"/>
                <w:sz w:val="24"/>
                <w:szCs w:val="24"/>
              </w:rPr>
              <w:t xml:space="preserve"> </w:t>
            </w:r>
            <w:r w:rsidRPr="003744E5">
              <w:rPr>
                <w:rFonts w:cs="Times New Roman"/>
                <w:sz w:val="24"/>
                <w:szCs w:val="24"/>
              </w:rPr>
              <w:t>Paolo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 xml:space="preserve"> 3</w:t>
            </w:r>
            <w:r w:rsidR="00B42E1C">
              <w:rPr>
                <w:rFonts w:cs="Times New Roman"/>
                <w:sz w:val="24"/>
                <w:szCs w:val="24"/>
              </w:rPr>
              <w:t>,0</w:t>
            </w:r>
            <w:r w:rsidRPr="003744E5">
              <w:rPr>
                <w:rFonts w:cs="Times New Roman"/>
                <w:sz w:val="24"/>
                <w:szCs w:val="24"/>
              </w:rPr>
              <w:t>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Mediobanca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0,6%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 xml:space="preserve">MEDIA 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3,5%</w:t>
            </w:r>
          </w:p>
        </w:tc>
      </w:tr>
    </w:tbl>
    <w:p w:rsidR="003744E5" w:rsidRDefault="003744E5" w:rsidP="003744E5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</w:p>
    <w:p w:rsidR="003744E5" w:rsidRPr="003744E5" w:rsidRDefault="003744E5" w:rsidP="003744E5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  <w:r w:rsidRPr="003744E5">
        <w:rPr>
          <w:rFonts w:ascii="Times New Roman" w:hAnsi="Times New Roman" w:cs="Times New Roman"/>
          <w:sz w:val="24"/>
          <w:szCs w:val="24"/>
          <w:lang w:eastAsia="it-IT"/>
        </w:rPr>
        <w:t>Rapporto tra Riserve e Crediti deteriorati</w:t>
      </w:r>
    </w:p>
    <w:p w:rsidR="003744E5" w:rsidRPr="003744E5" w:rsidRDefault="003744E5" w:rsidP="003744E5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76"/>
        <w:gridCol w:w="2552"/>
      </w:tblGrid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proofErr w:type="spellStart"/>
            <w:r w:rsidRPr="003744E5">
              <w:rPr>
                <w:rFonts w:cs="Times New Roman"/>
                <w:sz w:val="24"/>
                <w:szCs w:val="24"/>
              </w:rPr>
              <w:t>Deutsche</w:t>
            </w:r>
            <w:proofErr w:type="spellEnd"/>
            <w:r w:rsidRPr="003744E5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3744E5">
              <w:rPr>
                <w:rFonts w:cs="Times New Roman"/>
                <w:sz w:val="24"/>
                <w:szCs w:val="24"/>
              </w:rPr>
              <w:t>Bank</w:t>
            </w:r>
            <w:proofErr w:type="spellEnd"/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70%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proofErr w:type="spellStart"/>
            <w:r w:rsidRPr="003744E5">
              <w:rPr>
                <w:rFonts w:cs="Times New Roman"/>
                <w:sz w:val="24"/>
                <w:szCs w:val="24"/>
              </w:rPr>
              <w:t>IntesaSanPaolo</w:t>
            </w:r>
            <w:proofErr w:type="spellEnd"/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60%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BNL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60%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MPS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55%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Unicredit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55%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UBI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45%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Banco Popolare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40%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Banca Marche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32,3%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MEDIA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55,3%</w:t>
            </w:r>
          </w:p>
        </w:tc>
      </w:tr>
    </w:tbl>
    <w:p w:rsidR="003744E5" w:rsidRPr="003744E5" w:rsidRDefault="003744E5" w:rsidP="003744E5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</w:p>
    <w:p w:rsidR="003744E5" w:rsidRPr="003744E5" w:rsidRDefault="003744E5" w:rsidP="003744E5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  <w:r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Rapporto tra Crediti deteriorati e Core </w:t>
      </w:r>
      <w:proofErr w:type="spellStart"/>
      <w:r w:rsidRPr="003744E5">
        <w:rPr>
          <w:rFonts w:ascii="Times New Roman" w:hAnsi="Times New Roman" w:cs="Times New Roman"/>
          <w:sz w:val="24"/>
          <w:szCs w:val="24"/>
          <w:lang w:eastAsia="it-IT"/>
        </w:rPr>
        <w:t>Tier</w:t>
      </w:r>
      <w:proofErr w:type="spellEnd"/>
      <w:r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 1 (*) </w:t>
      </w:r>
    </w:p>
    <w:p w:rsidR="003744E5" w:rsidRPr="003744E5" w:rsidRDefault="003744E5" w:rsidP="003744E5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76"/>
        <w:gridCol w:w="2552"/>
      </w:tblGrid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 xml:space="preserve">Banco Popolare  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87,7%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BC3E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Banca Popolare Milano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82,6%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Carige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72,6%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proofErr w:type="spellStart"/>
            <w:r w:rsidRPr="003744E5">
              <w:rPr>
                <w:rFonts w:cs="Times New Roman"/>
                <w:sz w:val="24"/>
                <w:szCs w:val="24"/>
              </w:rPr>
              <w:t>Bper</w:t>
            </w:r>
            <w:proofErr w:type="spellEnd"/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61,7%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Unicredit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44,3%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UBI</w:t>
            </w:r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43%</w:t>
            </w:r>
          </w:p>
        </w:tc>
      </w:tr>
      <w:tr w:rsidR="003744E5" w:rsidRPr="003744E5" w:rsidTr="002A17F0">
        <w:tc>
          <w:tcPr>
            <w:tcW w:w="2376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proofErr w:type="spellStart"/>
            <w:r w:rsidRPr="003744E5">
              <w:rPr>
                <w:rFonts w:cs="Times New Roman"/>
                <w:sz w:val="24"/>
                <w:szCs w:val="24"/>
              </w:rPr>
              <w:t>IntesaSanpaolo</w:t>
            </w:r>
            <w:proofErr w:type="spellEnd"/>
          </w:p>
        </w:tc>
        <w:tc>
          <w:tcPr>
            <w:tcW w:w="2552" w:type="dxa"/>
          </w:tcPr>
          <w:p w:rsidR="003744E5" w:rsidRPr="003744E5" w:rsidRDefault="003744E5" w:rsidP="003744E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</w:rPr>
            </w:pPr>
            <w:r w:rsidRPr="003744E5">
              <w:rPr>
                <w:rFonts w:cs="Times New Roman"/>
                <w:sz w:val="24"/>
                <w:szCs w:val="24"/>
              </w:rPr>
              <w:t>37,8%</w:t>
            </w:r>
          </w:p>
        </w:tc>
      </w:tr>
    </w:tbl>
    <w:p w:rsidR="003744E5" w:rsidRPr="003744E5" w:rsidRDefault="003744E5" w:rsidP="003744E5">
      <w:pPr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  <w:lang w:eastAsia="it-IT"/>
        </w:rPr>
      </w:pPr>
    </w:p>
    <w:p w:rsidR="003744E5" w:rsidRPr="003744E5" w:rsidRDefault="003744E5" w:rsidP="003744E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it-IT"/>
        </w:rPr>
      </w:pPr>
      <w:r w:rsidRPr="003744E5">
        <w:rPr>
          <w:rFonts w:ascii="Times New Roman" w:hAnsi="Times New Roman" w:cs="Times New Roman"/>
          <w:b/>
          <w:sz w:val="24"/>
          <w:szCs w:val="24"/>
          <w:lang w:eastAsia="it-IT"/>
        </w:rPr>
        <w:t xml:space="preserve">(*) </w:t>
      </w:r>
      <w:proofErr w:type="spellStart"/>
      <w:r w:rsidRPr="003744E5">
        <w:rPr>
          <w:rFonts w:ascii="Times New Roman" w:hAnsi="Times New Roman" w:cs="Times New Roman"/>
          <w:b/>
          <w:i/>
          <w:sz w:val="24"/>
          <w:szCs w:val="24"/>
          <w:lang w:eastAsia="it-IT"/>
        </w:rPr>
        <w:t>Tier</w:t>
      </w:r>
      <w:proofErr w:type="spellEnd"/>
      <w:r w:rsidRPr="003744E5">
        <w:rPr>
          <w:rFonts w:ascii="Times New Roman" w:hAnsi="Times New Roman" w:cs="Times New Roman"/>
          <w:b/>
          <w:i/>
          <w:sz w:val="24"/>
          <w:szCs w:val="24"/>
          <w:lang w:eastAsia="it-IT"/>
        </w:rPr>
        <w:t xml:space="preserve"> 1</w:t>
      </w:r>
      <w:r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: </w:t>
      </w:r>
      <w:hyperlink r:id="rId6" w:tooltip="Utile" w:history="1">
        <w:r w:rsidRPr="003744E5">
          <w:rPr>
            <w:rFonts w:ascii="Times New Roman" w:hAnsi="Times New Roman" w:cs="Times New Roman"/>
            <w:sz w:val="24"/>
            <w:szCs w:val="24"/>
            <w:lang w:eastAsia="it-IT"/>
          </w:rPr>
          <w:t>Utili</w:t>
        </w:r>
      </w:hyperlink>
      <w:r w:rsidRPr="003744E5">
        <w:rPr>
          <w:rFonts w:ascii="Times New Roman" w:hAnsi="Times New Roman" w:cs="Times New Roman"/>
          <w:sz w:val="24"/>
          <w:szCs w:val="24"/>
          <w:lang w:eastAsia="it-IT"/>
        </w:rPr>
        <w:t> non distribuiti e Riserve, al netto dell'</w:t>
      </w:r>
      <w:hyperlink r:id="rId7" w:tooltip="Avviamento" w:history="1">
        <w:r w:rsidRPr="003744E5">
          <w:rPr>
            <w:rFonts w:ascii="Times New Roman" w:hAnsi="Times New Roman" w:cs="Times New Roman"/>
            <w:sz w:val="24"/>
            <w:szCs w:val="24"/>
            <w:lang w:eastAsia="it-IT"/>
          </w:rPr>
          <w:t>avviamento</w:t>
        </w:r>
      </w:hyperlink>
      <w:r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 + </w:t>
      </w:r>
      <w:hyperlink r:id="rId8" w:tooltip="Azioni" w:history="1">
        <w:r w:rsidRPr="003744E5">
          <w:rPr>
            <w:rFonts w:ascii="Times New Roman" w:hAnsi="Times New Roman" w:cs="Times New Roman"/>
            <w:sz w:val="24"/>
            <w:szCs w:val="24"/>
            <w:lang w:eastAsia="it-IT"/>
          </w:rPr>
          <w:t>Azioni</w:t>
        </w:r>
      </w:hyperlink>
      <w:r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 ordinarie ( quelle di risparmio escluse a partire dal 2010, non assicurano, infatti, il pieno assorbimento delle perdite, in quanto prevedono vantaggi in fase di liquidazione e nella maggior parte dei casi sono caratterizzate da meccanismi di remunerazione privilegiati e commisurati al valore nominale dello strumento), + </w:t>
      </w:r>
      <w:proofErr w:type="spellStart"/>
      <w:r w:rsidRPr="003744E5">
        <w:rPr>
          <w:rFonts w:ascii="Times New Roman" w:hAnsi="Times New Roman" w:cs="Times New Roman"/>
          <w:sz w:val="24"/>
          <w:szCs w:val="24"/>
          <w:lang w:eastAsia="it-IT"/>
        </w:rPr>
        <w:t>Preferred</w:t>
      </w:r>
      <w:proofErr w:type="spellEnd"/>
      <w:r w:rsidRPr="003744E5">
        <w:rPr>
          <w:rFonts w:ascii="Times New Roman" w:hAnsi="Times New Roman" w:cs="Times New Roman"/>
          <w:sz w:val="24"/>
          <w:szCs w:val="24"/>
          <w:lang w:eastAsia="it-IT"/>
        </w:rPr>
        <w:t xml:space="preserve"> Securities: </w:t>
      </w:r>
      <w:hyperlink r:id="rId9" w:tooltip="Obbligazione (finanza)" w:history="1">
        <w:r w:rsidRPr="003744E5">
          <w:rPr>
            <w:rFonts w:ascii="Times New Roman" w:hAnsi="Times New Roman" w:cs="Times New Roman"/>
            <w:sz w:val="24"/>
            <w:szCs w:val="24"/>
            <w:lang w:eastAsia="it-IT"/>
          </w:rPr>
          <w:t>obbligazioni</w:t>
        </w:r>
      </w:hyperlink>
      <w:r w:rsidRPr="003744E5">
        <w:rPr>
          <w:rFonts w:ascii="Times New Roman" w:hAnsi="Times New Roman" w:cs="Times New Roman"/>
          <w:sz w:val="24"/>
          <w:szCs w:val="24"/>
          <w:lang w:eastAsia="it-IT"/>
        </w:rPr>
        <w:t> perpetue richiamabili non prima di 10 anni, il cui pagamento può essere sospeso in presenza di andamenti negativi della gestione e privilegiate solo rispetto alle azioni ordinarie e di risparmio.</w:t>
      </w:r>
    </w:p>
    <w:p w:rsidR="003744E5" w:rsidRDefault="003744E5" w:rsidP="003744E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it-IT"/>
        </w:rPr>
      </w:pPr>
      <w:r w:rsidRPr="003744E5">
        <w:rPr>
          <w:rFonts w:ascii="Times New Roman" w:hAnsi="Times New Roman" w:cs="Times New Roman"/>
          <w:b/>
          <w:i/>
          <w:sz w:val="24"/>
          <w:szCs w:val="24"/>
          <w:lang w:eastAsia="it-IT"/>
        </w:rPr>
        <w:t xml:space="preserve">Core </w:t>
      </w:r>
      <w:proofErr w:type="spellStart"/>
      <w:r w:rsidRPr="003744E5">
        <w:rPr>
          <w:rFonts w:ascii="Times New Roman" w:hAnsi="Times New Roman" w:cs="Times New Roman"/>
          <w:b/>
          <w:i/>
          <w:sz w:val="24"/>
          <w:szCs w:val="24"/>
          <w:lang w:eastAsia="it-IT"/>
        </w:rPr>
        <w:t>Tier</w:t>
      </w:r>
      <w:proofErr w:type="spellEnd"/>
      <w:r w:rsidRPr="003744E5">
        <w:rPr>
          <w:rFonts w:ascii="Times New Roman" w:hAnsi="Times New Roman" w:cs="Times New Roman"/>
          <w:b/>
          <w:i/>
          <w:sz w:val="24"/>
          <w:szCs w:val="24"/>
          <w:lang w:eastAsia="it-IT"/>
        </w:rPr>
        <w:t xml:space="preserve"> 1</w:t>
      </w:r>
      <w:r w:rsidRPr="003744E5">
        <w:rPr>
          <w:rFonts w:ascii="Times New Roman" w:hAnsi="Times New Roman" w:cs="Times New Roman"/>
          <w:sz w:val="24"/>
          <w:szCs w:val="24"/>
          <w:lang w:eastAsia="it-IT"/>
        </w:rPr>
        <w:t>: Si calcola rapportando il patrimonio di base della banca al totale delle attività ponderate per il rischio. Il patrimonio di base si considera al netto dell’avviamento, nonché delle azioni proprie possedute,</w:t>
      </w:r>
      <w:r w:rsidR="003F1F77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r w:rsidRPr="003744E5">
        <w:rPr>
          <w:rFonts w:ascii="Times New Roman" w:hAnsi="Times New Roman" w:cs="Times New Roman"/>
          <w:sz w:val="24"/>
          <w:szCs w:val="24"/>
          <w:lang w:eastAsia="it-IT"/>
        </w:rPr>
        <w:t>immobilizzazioni immateriali e perdite registrate negli esercizi precedenti.</w:t>
      </w:r>
    </w:p>
    <w:p w:rsidR="003373A6" w:rsidRPr="003373A6" w:rsidRDefault="00B42E1C" w:rsidP="003373A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it-IT"/>
        </w:rPr>
      </w:pPr>
      <w:r w:rsidRPr="003F1F77">
        <w:rPr>
          <w:rFonts w:ascii="Times New Roman" w:hAnsi="Times New Roman" w:cs="Times New Roman"/>
          <w:b/>
          <w:i/>
          <w:sz w:val="24"/>
          <w:szCs w:val="24"/>
          <w:lang w:eastAsia="it-IT"/>
        </w:rPr>
        <w:t>N</w:t>
      </w:r>
      <w:r w:rsidR="003373A6" w:rsidRPr="003373A6">
        <w:rPr>
          <w:rFonts w:ascii="Times New Roman" w:hAnsi="Times New Roman" w:cs="Times New Roman"/>
          <w:b/>
          <w:i/>
          <w:sz w:val="24"/>
          <w:szCs w:val="24"/>
          <w:lang w:eastAsia="it-IT"/>
        </w:rPr>
        <w:t xml:space="preserve">on </w:t>
      </w:r>
      <w:proofErr w:type="spellStart"/>
      <w:r w:rsidRPr="003F1F77">
        <w:rPr>
          <w:rFonts w:ascii="Times New Roman" w:hAnsi="Times New Roman" w:cs="Times New Roman"/>
          <w:b/>
          <w:i/>
          <w:sz w:val="24"/>
          <w:szCs w:val="24"/>
          <w:lang w:eastAsia="it-IT"/>
        </w:rPr>
        <w:t>P</w:t>
      </w:r>
      <w:r w:rsidR="003373A6" w:rsidRPr="003373A6">
        <w:rPr>
          <w:rFonts w:ascii="Times New Roman" w:hAnsi="Times New Roman" w:cs="Times New Roman"/>
          <w:b/>
          <w:i/>
          <w:sz w:val="24"/>
          <w:szCs w:val="24"/>
          <w:lang w:eastAsia="it-IT"/>
        </w:rPr>
        <w:t>erforming</w:t>
      </w:r>
      <w:proofErr w:type="spellEnd"/>
      <w:r w:rsidR="003373A6" w:rsidRPr="003373A6">
        <w:rPr>
          <w:rFonts w:ascii="Times New Roman" w:hAnsi="Times New Roman" w:cs="Times New Roman"/>
          <w:b/>
          <w:i/>
          <w:sz w:val="24"/>
          <w:szCs w:val="24"/>
          <w:lang w:eastAsia="it-IT"/>
        </w:rPr>
        <w:t xml:space="preserve"> </w:t>
      </w:r>
      <w:proofErr w:type="spellStart"/>
      <w:r w:rsidRPr="003F1F77">
        <w:rPr>
          <w:rFonts w:ascii="Times New Roman" w:hAnsi="Times New Roman" w:cs="Times New Roman"/>
          <w:b/>
          <w:i/>
          <w:sz w:val="24"/>
          <w:szCs w:val="24"/>
          <w:lang w:eastAsia="it-IT"/>
        </w:rPr>
        <w:t>L</w:t>
      </w:r>
      <w:r w:rsidR="003373A6" w:rsidRPr="003373A6">
        <w:rPr>
          <w:rFonts w:ascii="Times New Roman" w:hAnsi="Times New Roman" w:cs="Times New Roman"/>
          <w:b/>
          <w:i/>
          <w:sz w:val="24"/>
          <w:szCs w:val="24"/>
          <w:lang w:eastAsia="it-IT"/>
        </w:rPr>
        <w:t>oans</w:t>
      </w:r>
      <w:proofErr w:type="spellEnd"/>
      <w:r w:rsidR="003373A6" w:rsidRPr="003373A6">
        <w:rPr>
          <w:rFonts w:ascii="Times New Roman" w:hAnsi="Times New Roman" w:cs="Times New Roman"/>
          <w:sz w:val="24"/>
          <w:szCs w:val="24"/>
          <w:lang w:eastAsia="it-IT"/>
        </w:rPr>
        <w:t xml:space="preserve"> (prestiti non performanti) sono attività che non riescono più a ripagare il capitale e gli interessi dovuti ai creditori. Si tratta in pratica di crediti per i quali la riscossione è incerta sia in termini di rispetto della scadenza che per ammontare dell’esposizione. I non </w:t>
      </w:r>
      <w:proofErr w:type="spellStart"/>
      <w:r w:rsidR="003373A6" w:rsidRPr="003373A6">
        <w:rPr>
          <w:rFonts w:ascii="Times New Roman" w:hAnsi="Times New Roman" w:cs="Times New Roman"/>
          <w:sz w:val="24"/>
          <w:szCs w:val="24"/>
          <w:lang w:eastAsia="it-IT"/>
        </w:rPr>
        <w:t>performing</w:t>
      </w:r>
      <w:proofErr w:type="spellEnd"/>
      <w:r w:rsidR="003373A6" w:rsidRPr="003373A6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="003373A6" w:rsidRPr="003373A6">
        <w:rPr>
          <w:rFonts w:ascii="Times New Roman" w:hAnsi="Times New Roman" w:cs="Times New Roman"/>
          <w:sz w:val="24"/>
          <w:szCs w:val="24"/>
          <w:lang w:eastAsia="it-IT"/>
        </w:rPr>
        <w:t>loans</w:t>
      </w:r>
      <w:proofErr w:type="spellEnd"/>
      <w:r w:rsidR="003373A6" w:rsidRPr="003373A6">
        <w:rPr>
          <w:rFonts w:ascii="Times New Roman" w:hAnsi="Times New Roman" w:cs="Times New Roman"/>
          <w:sz w:val="24"/>
          <w:szCs w:val="24"/>
          <w:lang w:eastAsia="it-IT"/>
        </w:rPr>
        <w:t xml:space="preserve"> nel linguaggio bancario sono chiamati anche crediti deteriorati e si distinguono in varie categorie fra le quali le più importanti sono gli incagli e le sofferenze.</w:t>
      </w:r>
    </w:p>
    <w:p w:rsidR="00C200C3" w:rsidRPr="00B42E1C" w:rsidRDefault="00B42E1C" w:rsidP="00B42E1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it-IT"/>
        </w:rPr>
      </w:pPr>
      <w:proofErr w:type="spellStart"/>
      <w:r w:rsidRPr="003F1F77">
        <w:rPr>
          <w:rFonts w:ascii="Times New Roman" w:hAnsi="Times New Roman" w:cs="Times New Roman"/>
          <w:b/>
          <w:i/>
          <w:sz w:val="24"/>
          <w:szCs w:val="24"/>
          <w:lang w:eastAsia="it-IT"/>
        </w:rPr>
        <w:t>C</w:t>
      </w:r>
      <w:r w:rsidRPr="003F1F77">
        <w:rPr>
          <w:rFonts w:ascii="Times New Roman" w:hAnsi="Times New Roman" w:cs="Times New Roman"/>
          <w:b/>
          <w:i/>
          <w:sz w:val="24"/>
          <w:szCs w:val="24"/>
          <w:lang w:eastAsia="it-IT"/>
        </w:rPr>
        <w:t>overage</w:t>
      </w:r>
      <w:proofErr w:type="spellEnd"/>
      <w:r w:rsidRPr="003F1F77">
        <w:rPr>
          <w:rFonts w:ascii="Times New Roman" w:hAnsi="Times New Roman" w:cs="Times New Roman"/>
          <w:b/>
          <w:i/>
          <w:sz w:val="24"/>
          <w:szCs w:val="24"/>
          <w:lang w:eastAsia="it-IT"/>
        </w:rPr>
        <w:t xml:space="preserve"> </w:t>
      </w:r>
      <w:r w:rsidRPr="003F1F77">
        <w:rPr>
          <w:rFonts w:ascii="Times New Roman" w:hAnsi="Times New Roman" w:cs="Times New Roman"/>
          <w:b/>
          <w:i/>
          <w:sz w:val="24"/>
          <w:szCs w:val="24"/>
          <w:lang w:eastAsia="it-IT"/>
        </w:rPr>
        <w:t>R</w:t>
      </w:r>
      <w:r w:rsidRPr="003F1F77">
        <w:rPr>
          <w:rFonts w:ascii="Times New Roman" w:hAnsi="Times New Roman" w:cs="Times New Roman"/>
          <w:b/>
          <w:i/>
          <w:sz w:val="24"/>
          <w:szCs w:val="24"/>
          <w:lang w:eastAsia="it-IT"/>
        </w:rPr>
        <w:t>atio</w:t>
      </w:r>
      <w:r w:rsidRPr="00B42E1C">
        <w:rPr>
          <w:rFonts w:ascii="Times New Roman" w:hAnsi="Times New Roman" w:cs="Times New Roman"/>
          <w:sz w:val="24"/>
          <w:szCs w:val="24"/>
          <w:lang w:eastAsia="it-IT"/>
        </w:rPr>
        <w:t xml:space="preserve">: rapporto di copertura (in contabilità, l' indice delle entrate destinate a coprire debiti specifici in rapporto alla somma degli obblighi finanziari di </w:t>
      </w:r>
      <w:r>
        <w:rPr>
          <w:rFonts w:ascii="Times New Roman" w:hAnsi="Times New Roman" w:cs="Times New Roman"/>
          <w:sz w:val="24"/>
          <w:szCs w:val="24"/>
          <w:lang w:eastAsia="it-IT"/>
        </w:rPr>
        <w:t xml:space="preserve">una banca o </w:t>
      </w:r>
      <w:r w:rsidRPr="00B42E1C">
        <w:rPr>
          <w:rFonts w:ascii="Times New Roman" w:hAnsi="Times New Roman" w:cs="Times New Roman"/>
          <w:sz w:val="24"/>
          <w:szCs w:val="24"/>
          <w:lang w:eastAsia="it-IT"/>
        </w:rPr>
        <w:t xml:space="preserve">un' </w:t>
      </w:r>
      <w:r>
        <w:rPr>
          <w:rFonts w:ascii="Times New Roman" w:hAnsi="Times New Roman" w:cs="Times New Roman"/>
          <w:sz w:val="24"/>
          <w:szCs w:val="24"/>
          <w:lang w:eastAsia="it-IT"/>
        </w:rPr>
        <w:t>impresa</w:t>
      </w:r>
      <w:r w:rsidRPr="00B42E1C">
        <w:rPr>
          <w:rFonts w:ascii="Times New Roman" w:hAnsi="Times New Roman" w:cs="Times New Roman"/>
          <w:sz w:val="24"/>
          <w:szCs w:val="24"/>
          <w:lang w:eastAsia="it-IT"/>
        </w:rPr>
        <w:t>)</w:t>
      </w:r>
    </w:p>
    <w:sectPr w:rsidR="00C200C3" w:rsidRPr="00B42E1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2E3"/>
    <w:rsid w:val="00063863"/>
    <w:rsid w:val="00074441"/>
    <w:rsid w:val="00130235"/>
    <w:rsid w:val="001A3C40"/>
    <w:rsid w:val="002E4C34"/>
    <w:rsid w:val="00322014"/>
    <w:rsid w:val="0032701C"/>
    <w:rsid w:val="003373A6"/>
    <w:rsid w:val="00370059"/>
    <w:rsid w:val="003744E5"/>
    <w:rsid w:val="003F1F77"/>
    <w:rsid w:val="00406F1D"/>
    <w:rsid w:val="00424BEE"/>
    <w:rsid w:val="004F322C"/>
    <w:rsid w:val="0050041C"/>
    <w:rsid w:val="005F3BF0"/>
    <w:rsid w:val="005F5A1E"/>
    <w:rsid w:val="00632BCB"/>
    <w:rsid w:val="007339EC"/>
    <w:rsid w:val="00754201"/>
    <w:rsid w:val="007B6622"/>
    <w:rsid w:val="00873879"/>
    <w:rsid w:val="0094402A"/>
    <w:rsid w:val="0098615F"/>
    <w:rsid w:val="00987FE0"/>
    <w:rsid w:val="009B4EA1"/>
    <w:rsid w:val="00A42182"/>
    <w:rsid w:val="00B35AE5"/>
    <w:rsid w:val="00B42E1C"/>
    <w:rsid w:val="00B90F78"/>
    <w:rsid w:val="00BA2E5C"/>
    <w:rsid w:val="00BC3EE5"/>
    <w:rsid w:val="00C200C3"/>
    <w:rsid w:val="00C55771"/>
    <w:rsid w:val="00C76E16"/>
    <w:rsid w:val="00CC22E3"/>
    <w:rsid w:val="00D07FAE"/>
    <w:rsid w:val="00D136AC"/>
    <w:rsid w:val="00D709E1"/>
    <w:rsid w:val="00DB5BBF"/>
    <w:rsid w:val="00E612FB"/>
    <w:rsid w:val="00EE7D98"/>
    <w:rsid w:val="00F43ED9"/>
    <w:rsid w:val="00FE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line="276" w:lineRule="auto"/>
        <w:ind w:left="23" w:right="-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C22E3"/>
    <w:pPr>
      <w:spacing w:after="200"/>
      <w:ind w:left="0" w:right="0"/>
    </w:pPr>
    <w:rPr>
      <w:rFonts w:cstheme="minorBidi"/>
      <w:bCs w:val="0"/>
      <w:iCs w:val="0"/>
      <w:kern w:val="0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 w:line="240" w:lineRule="auto"/>
      <w:ind w:left="480" w:right="34"/>
      <w:outlineLvl w:val="0"/>
    </w:pPr>
    <w:rPr>
      <w:rFonts w:cs="Century Gothic"/>
      <w:b/>
      <w:bCs/>
      <w:sz w:val="32"/>
      <w:szCs w:val="32"/>
      <w:lang w:eastAsia="it-IT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 w:line="240" w:lineRule="auto"/>
      <w:jc w:val="center"/>
      <w:outlineLvl w:val="1"/>
    </w:pPr>
    <w:rPr>
      <w:rFonts w:cs="Century Gothic"/>
      <w:sz w:val="24"/>
      <w:szCs w:val="24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 w:line="240" w:lineRule="auto"/>
      <w:outlineLvl w:val="2"/>
    </w:pPr>
    <w:rPr>
      <w:rFonts w:cs="Century Gothic"/>
      <w:b/>
      <w:bCs/>
      <w:sz w:val="24"/>
      <w:szCs w:val="24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 w:line="240" w:lineRule="auto"/>
      <w:outlineLvl w:val="3"/>
    </w:pPr>
    <w:rPr>
      <w:rFonts w:ascii="Times New Roman" w:hAnsi="Times New Roman" w:cs="Times New Roman"/>
      <w:b/>
      <w:bCs/>
      <w:sz w:val="28"/>
      <w:szCs w:val="28"/>
      <w:lang w:eastAsia="it-IT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 w:line="240" w:lineRule="auto"/>
      <w:outlineLvl w:val="5"/>
    </w:pPr>
    <w:rPr>
      <w:rFonts w:ascii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 w:line="240" w:lineRule="auto"/>
    </w:pPr>
    <w:rPr>
      <w:rFonts w:eastAsia="Times New Roman" w:cs="Century Gothic"/>
      <w:bCs/>
      <w:iCs/>
      <w:kern w:val="36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 w:val="0"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 w:line="240" w:lineRule="auto"/>
      <w:jc w:val="center"/>
    </w:pPr>
    <w:rPr>
      <w:rFonts w:ascii="Arial" w:hAnsi="Arial" w:cs="Arial"/>
      <w:b/>
      <w:bCs/>
      <w:sz w:val="32"/>
      <w:szCs w:val="3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after="0" w:line="240" w:lineRule="auto"/>
      <w:ind w:left="600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 w:line="240" w:lineRule="auto"/>
      <w:ind w:left="170" w:right="-39"/>
    </w:pPr>
    <w:rPr>
      <w:rFonts w:cs="Century Gothic"/>
      <w:sz w:val="24"/>
      <w:szCs w:val="24"/>
      <w:lang w:eastAsia="it-IT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spacing w:after="0" w:line="240" w:lineRule="auto"/>
      <w:ind w:left="720"/>
    </w:pPr>
    <w:rPr>
      <w:rFonts w:cs="Times New Roman"/>
      <w:sz w:val="24"/>
      <w:szCs w:val="24"/>
      <w:lang w:eastAsia="it-IT"/>
    </w:r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after="0" w:line="240" w:lineRule="auto"/>
      <w:ind w:right="-2"/>
    </w:pPr>
    <w:rPr>
      <w:rFonts w:cs="Times New Roman"/>
      <w:sz w:val="24"/>
      <w:szCs w:val="24"/>
      <w:lang w:eastAsia="it-IT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after="0" w:line="240" w:lineRule="auto"/>
      <w:ind w:left="440"/>
    </w:pPr>
    <w:rPr>
      <w:rFonts w:ascii="Times New Roman" w:hAnsi="Times New Roman" w:cs="Times New Roman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after="0" w:line="240" w:lineRule="auto"/>
    </w:pPr>
    <w:rPr>
      <w:rFonts w:cs="Times New Roman"/>
      <w:sz w:val="24"/>
      <w:szCs w:val="24"/>
      <w:lang w:eastAsia="it-IT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after="0" w:line="240" w:lineRule="auto"/>
      <w:ind w:left="480"/>
    </w:pPr>
    <w:rPr>
      <w:rFonts w:cs="Times New Roman"/>
      <w:color w:val="FF0000"/>
      <w:sz w:val="18"/>
      <w:szCs w:val="18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after="0" w:line="240" w:lineRule="auto"/>
    </w:pPr>
    <w:rPr>
      <w:rFonts w:ascii="Calibri" w:hAnsi="Calibri" w:cs="Times New Roman"/>
      <w:sz w:val="24"/>
      <w:szCs w:val="21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after="0" w:line="240" w:lineRule="auto"/>
    </w:pPr>
    <w:rPr>
      <w:rFonts w:ascii="Tahoma" w:hAnsi="Tahoma" w:cs="Tahoma"/>
      <w:sz w:val="24"/>
      <w:szCs w:val="24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spacing w:after="0" w:line="240" w:lineRule="auto"/>
      <w:ind w:left="2160"/>
    </w:pPr>
    <w:rPr>
      <w:rFonts w:cs="Times New Roman"/>
      <w:color w:val="0F243E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30235"/>
    <w:pPr>
      <w:spacing w:after="0" w:line="240" w:lineRule="auto"/>
      <w:ind w:left="720"/>
    </w:pPr>
    <w:rPr>
      <w:rFonts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line="276" w:lineRule="auto"/>
        <w:ind w:left="23" w:right="-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C22E3"/>
    <w:pPr>
      <w:spacing w:after="200"/>
      <w:ind w:left="0" w:right="0"/>
    </w:pPr>
    <w:rPr>
      <w:rFonts w:cstheme="minorBidi"/>
      <w:bCs w:val="0"/>
      <w:iCs w:val="0"/>
      <w:kern w:val="0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 w:line="240" w:lineRule="auto"/>
      <w:ind w:left="480" w:right="34"/>
      <w:outlineLvl w:val="0"/>
    </w:pPr>
    <w:rPr>
      <w:rFonts w:cs="Century Gothic"/>
      <w:b/>
      <w:bCs/>
      <w:sz w:val="32"/>
      <w:szCs w:val="32"/>
      <w:lang w:eastAsia="it-IT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 w:line="240" w:lineRule="auto"/>
      <w:jc w:val="center"/>
      <w:outlineLvl w:val="1"/>
    </w:pPr>
    <w:rPr>
      <w:rFonts w:cs="Century Gothic"/>
      <w:sz w:val="24"/>
      <w:szCs w:val="24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 w:line="240" w:lineRule="auto"/>
      <w:outlineLvl w:val="2"/>
    </w:pPr>
    <w:rPr>
      <w:rFonts w:cs="Century Gothic"/>
      <w:b/>
      <w:bCs/>
      <w:sz w:val="24"/>
      <w:szCs w:val="24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 w:line="240" w:lineRule="auto"/>
      <w:outlineLvl w:val="3"/>
    </w:pPr>
    <w:rPr>
      <w:rFonts w:ascii="Times New Roman" w:hAnsi="Times New Roman" w:cs="Times New Roman"/>
      <w:b/>
      <w:bCs/>
      <w:sz w:val="28"/>
      <w:szCs w:val="28"/>
      <w:lang w:eastAsia="it-IT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 w:line="240" w:lineRule="auto"/>
      <w:outlineLvl w:val="5"/>
    </w:pPr>
    <w:rPr>
      <w:rFonts w:ascii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 w:line="240" w:lineRule="auto"/>
    </w:pPr>
    <w:rPr>
      <w:rFonts w:eastAsia="Times New Roman" w:cs="Century Gothic"/>
      <w:bCs/>
      <w:iCs/>
      <w:kern w:val="36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 w:val="0"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 w:line="240" w:lineRule="auto"/>
      <w:jc w:val="center"/>
    </w:pPr>
    <w:rPr>
      <w:rFonts w:ascii="Arial" w:hAnsi="Arial" w:cs="Arial"/>
      <w:b/>
      <w:bCs/>
      <w:sz w:val="32"/>
      <w:szCs w:val="3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after="0" w:line="240" w:lineRule="auto"/>
      <w:ind w:left="600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 w:line="240" w:lineRule="auto"/>
      <w:ind w:left="170" w:right="-39"/>
    </w:pPr>
    <w:rPr>
      <w:rFonts w:cs="Century Gothic"/>
      <w:sz w:val="24"/>
      <w:szCs w:val="24"/>
      <w:lang w:eastAsia="it-IT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spacing w:after="0" w:line="240" w:lineRule="auto"/>
      <w:ind w:left="720"/>
    </w:pPr>
    <w:rPr>
      <w:rFonts w:cs="Times New Roman"/>
      <w:sz w:val="24"/>
      <w:szCs w:val="24"/>
      <w:lang w:eastAsia="it-IT"/>
    </w:r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after="0" w:line="240" w:lineRule="auto"/>
      <w:ind w:right="-2"/>
    </w:pPr>
    <w:rPr>
      <w:rFonts w:cs="Times New Roman"/>
      <w:sz w:val="24"/>
      <w:szCs w:val="24"/>
      <w:lang w:eastAsia="it-IT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after="0" w:line="240" w:lineRule="auto"/>
      <w:ind w:left="440"/>
    </w:pPr>
    <w:rPr>
      <w:rFonts w:ascii="Times New Roman" w:hAnsi="Times New Roman" w:cs="Times New Roman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after="0" w:line="240" w:lineRule="auto"/>
    </w:pPr>
    <w:rPr>
      <w:rFonts w:cs="Times New Roman"/>
      <w:sz w:val="24"/>
      <w:szCs w:val="24"/>
      <w:lang w:eastAsia="it-IT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after="0" w:line="240" w:lineRule="auto"/>
      <w:ind w:left="480"/>
    </w:pPr>
    <w:rPr>
      <w:rFonts w:cs="Times New Roman"/>
      <w:color w:val="FF0000"/>
      <w:sz w:val="18"/>
      <w:szCs w:val="18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after="0" w:line="240" w:lineRule="auto"/>
    </w:pPr>
    <w:rPr>
      <w:rFonts w:ascii="Calibri" w:hAnsi="Calibri" w:cs="Times New Roman"/>
      <w:sz w:val="24"/>
      <w:szCs w:val="21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after="0" w:line="240" w:lineRule="auto"/>
    </w:pPr>
    <w:rPr>
      <w:rFonts w:ascii="Tahoma" w:hAnsi="Tahoma" w:cs="Tahoma"/>
      <w:sz w:val="24"/>
      <w:szCs w:val="24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spacing w:after="0" w:line="240" w:lineRule="auto"/>
      <w:ind w:left="2160"/>
    </w:pPr>
    <w:rPr>
      <w:rFonts w:cs="Times New Roman"/>
      <w:color w:val="0F243E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30235"/>
    <w:pPr>
      <w:spacing w:after="0" w:line="240" w:lineRule="auto"/>
      <w:ind w:left="720"/>
    </w:pPr>
    <w:rPr>
      <w:rFonts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9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3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96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55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40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1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94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962169">
                          <w:marLeft w:val="0"/>
                          <w:marRight w:val="0"/>
                          <w:marTop w:val="16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t.wikipedia.org/wiki/Azioni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t.wikipedia.org/wiki/Avviament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t.wikipedia.org/wiki/Utile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t.wikipedia.org/wiki/Obbligazione_(finanza)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Elio</cp:lastModifiedBy>
  <cp:revision>5</cp:revision>
  <dcterms:created xsi:type="dcterms:W3CDTF">2013-12-11T09:02:00Z</dcterms:created>
  <dcterms:modified xsi:type="dcterms:W3CDTF">2013-12-13T15:19:00Z</dcterms:modified>
</cp:coreProperties>
</file>