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0F2" w:rsidRDefault="008710F2" w:rsidP="008710F2">
      <w:r>
        <w:t>                                             COMUNICATO STAMPA</w:t>
      </w:r>
    </w:p>
    <w:p w:rsidR="008710F2" w:rsidRDefault="008710F2" w:rsidP="008710F2"/>
    <w:p w:rsidR="008710F2" w:rsidRDefault="008710F2" w:rsidP="008710F2">
      <w:pPr>
        <w:jc w:val="center"/>
      </w:pPr>
      <w:r>
        <w:t>COSTI DELLA POLITICA:  REGIONI DALLE MANI BUCATE, ASSORBONO 163 MILIARDI DI EURO L’ANNO, COMPRESO 1 MILIARDO PER RETRIBUIRE LE “CASTE REGIONALI”. BEN 2.472 EURO L’ANNO IL GRAVAME REGIONALE SULLE SPALLE DI OGNI ITALIANO, CHE SALGONO A 4.031 EURO DI COSTI TOTALI, UTILIZZATI DAI “POLITICI” ANCHE PER ACQUISTARE “MUTANDONI D’ORDINANZA”.</w:t>
      </w:r>
    </w:p>
    <w:p w:rsidR="008710F2" w:rsidRDefault="008710F2" w:rsidP="008710F2"/>
    <w:p w:rsidR="008710F2" w:rsidRDefault="008710F2" w:rsidP="008710F2">
      <w:pPr>
        <w:rPr>
          <w:shd w:val="clear" w:color="auto" w:fill="FFFFFF"/>
        </w:rPr>
      </w:pPr>
      <w:r>
        <w:t xml:space="preserve">Il </w:t>
      </w:r>
      <w:proofErr w:type="spellStart"/>
      <w:r>
        <w:t>Siope</w:t>
      </w:r>
      <w:proofErr w:type="spellEnd"/>
      <w:r>
        <w:t>, S</w:t>
      </w:r>
      <w:r>
        <w:rPr>
          <w:shd w:val="clear" w:color="auto" w:fill="FFFFFF"/>
        </w:rPr>
        <w:t>istema informativo delle operazioni degli enti pubblici, costituito presso il MEF/Ragioneria Generale dello Stato, tra le altre informazioni fornisce i dati di spesa corrente e spesa in conto capitale per regioni, province e comuni.</w:t>
      </w:r>
    </w:p>
    <w:p w:rsidR="008710F2" w:rsidRDefault="008710F2" w:rsidP="008710F2">
      <w:pPr>
        <w:rPr>
          <w:shd w:val="clear" w:color="auto" w:fill="FFFFFF"/>
        </w:rPr>
      </w:pPr>
      <w:r>
        <w:rPr>
          <w:shd w:val="clear" w:color="auto" w:fill="FFFFFF"/>
        </w:rPr>
        <w:t xml:space="preserve">Per l’anno 2012, </w:t>
      </w:r>
      <w:proofErr w:type="spellStart"/>
      <w:r>
        <w:rPr>
          <w:shd w:val="clear" w:color="auto" w:fill="FFFFFF"/>
        </w:rPr>
        <w:t>Siope</w:t>
      </w:r>
      <w:proofErr w:type="spellEnd"/>
      <w:r>
        <w:rPr>
          <w:shd w:val="clear" w:color="auto" w:fill="FFFFFF"/>
        </w:rPr>
        <w:t xml:space="preserve"> riporta i seguenti livelli di spesa:</w:t>
      </w:r>
    </w:p>
    <w:p w:rsidR="008710F2" w:rsidRDefault="008710F2" w:rsidP="008710F2">
      <w:pPr>
        <w:rPr>
          <w:shd w:val="clear" w:color="auto" w:fill="FFFFFF"/>
        </w:rPr>
      </w:pPr>
    </w:p>
    <w:p w:rsidR="008710F2" w:rsidRDefault="008710F2" w:rsidP="008710F2">
      <w:pPr>
        <w:jc w:val="center"/>
        <w:rPr>
          <w:b/>
          <w:bCs/>
          <w:sz w:val="22"/>
          <w:szCs w:val="22"/>
          <w:shd w:val="clear" w:color="auto" w:fill="FFFFFF"/>
        </w:rPr>
      </w:pPr>
      <w:r>
        <w:rPr>
          <w:b/>
          <w:bCs/>
          <w:sz w:val="22"/>
          <w:szCs w:val="22"/>
          <w:shd w:val="clear" w:color="auto" w:fill="FFFFFF"/>
        </w:rPr>
        <w:t xml:space="preserve">TAB. 1- Spese enti locali anno 2012 (in miliardi di euro) </w:t>
      </w:r>
    </w:p>
    <w:p w:rsidR="008710F2" w:rsidRDefault="008710F2" w:rsidP="008710F2">
      <w:pPr>
        <w:jc w:val="center"/>
        <w:rPr>
          <w:b/>
          <w:bCs/>
          <w:sz w:val="22"/>
          <w:szCs w:val="22"/>
          <w:shd w:val="clear" w:color="auto" w:fill="FFFFFF"/>
        </w:rPr>
      </w:pPr>
      <w:r>
        <w:rPr>
          <w:b/>
          <w:bCs/>
          <w:sz w:val="22"/>
          <w:szCs w:val="22"/>
          <w:shd w:val="clear" w:color="auto" w:fill="FFFFFF"/>
        </w:rPr>
        <w:t>In parentesi la percentuale sul Totale della spesa</w:t>
      </w:r>
    </w:p>
    <w:p w:rsidR="008710F2" w:rsidRDefault="008710F2" w:rsidP="008710F2">
      <w:pPr>
        <w:jc w:val="center"/>
        <w:rPr>
          <w:b/>
          <w:bCs/>
          <w:sz w:val="28"/>
          <w:szCs w:val="28"/>
          <w:shd w:val="clear" w:color="auto" w:fill="FFFFFF"/>
        </w:rPr>
      </w:pPr>
      <w:r>
        <w:rPr>
          <w:b/>
          <w:bCs/>
          <w:sz w:val="22"/>
          <w:szCs w:val="22"/>
          <w:shd w:val="clear" w:color="auto" w:fill="FFFFFF"/>
        </w:rPr>
        <w:t>Fonte SIOPE. Elaborazioni Mauro Novelli Segretario Nazionale Adusbef su dati ufficiali</w:t>
      </w:r>
    </w:p>
    <w:p w:rsidR="008710F2" w:rsidRDefault="008710F2" w:rsidP="008710F2">
      <w:pPr>
        <w:jc w:val="center"/>
        <w:rPr>
          <w:b/>
          <w:bCs/>
          <w:sz w:val="16"/>
          <w:szCs w:val="16"/>
          <w:shd w:val="clear" w:color="auto" w:fill="FFFFFF"/>
        </w:rPr>
      </w:pPr>
    </w:p>
    <w:tbl>
      <w:tblPr>
        <w:tblW w:w="0" w:type="auto"/>
        <w:jc w:val="center"/>
        <w:tblInd w:w="250" w:type="dxa"/>
        <w:tblCellMar>
          <w:left w:w="0" w:type="dxa"/>
          <w:right w:w="0" w:type="dxa"/>
        </w:tblCellMar>
        <w:tblLook w:val="04A0" w:firstRow="1" w:lastRow="0" w:firstColumn="1" w:lastColumn="0" w:noHBand="0" w:noVBand="1"/>
      </w:tblPr>
      <w:tblGrid>
        <w:gridCol w:w="3686"/>
        <w:gridCol w:w="1481"/>
        <w:gridCol w:w="1482"/>
        <w:gridCol w:w="1482"/>
        <w:gridCol w:w="1473"/>
      </w:tblGrid>
      <w:tr w:rsidR="008710F2" w:rsidTr="008710F2">
        <w:trPr>
          <w:jc w:val="center"/>
        </w:trPr>
        <w:tc>
          <w:tcPr>
            <w:tcW w:w="3686" w:type="dxa"/>
            <w:tcBorders>
              <w:top w:val="single" w:sz="8"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tcPr>
          <w:p w:rsidR="008710F2" w:rsidRDefault="008710F2">
            <w:pPr>
              <w:spacing w:line="276" w:lineRule="auto"/>
              <w:jc w:val="center"/>
              <w:rPr>
                <w:sz w:val="20"/>
                <w:szCs w:val="20"/>
                <w:shd w:val="clear" w:color="auto" w:fill="FFFFFF"/>
              </w:rPr>
            </w:pPr>
          </w:p>
        </w:tc>
        <w:tc>
          <w:tcPr>
            <w:tcW w:w="1481"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center"/>
              <w:rPr>
                <w:sz w:val="20"/>
                <w:szCs w:val="20"/>
                <w:shd w:val="clear" w:color="auto" w:fill="FFFFFF"/>
              </w:rPr>
            </w:pPr>
            <w:r>
              <w:rPr>
                <w:sz w:val="20"/>
                <w:szCs w:val="20"/>
                <w:shd w:val="clear" w:color="auto" w:fill="FFFFFF"/>
              </w:rPr>
              <w:t>REGIONI</w:t>
            </w:r>
          </w:p>
        </w:tc>
        <w:tc>
          <w:tcPr>
            <w:tcW w:w="1482"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center"/>
              <w:rPr>
                <w:sz w:val="20"/>
                <w:szCs w:val="20"/>
                <w:shd w:val="clear" w:color="auto" w:fill="FFFFFF"/>
              </w:rPr>
            </w:pPr>
            <w:r>
              <w:rPr>
                <w:sz w:val="20"/>
                <w:szCs w:val="20"/>
                <w:shd w:val="clear" w:color="auto" w:fill="FFFFFF"/>
              </w:rPr>
              <w:t>PROVINCE</w:t>
            </w:r>
          </w:p>
        </w:tc>
        <w:tc>
          <w:tcPr>
            <w:tcW w:w="1482"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center"/>
              <w:rPr>
                <w:sz w:val="20"/>
                <w:szCs w:val="20"/>
                <w:shd w:val="clear" w:color="auto" w:fill="FFFFFF"/>
              </w:rPr>
            </w:pPr>
            <w:r>
              <w:rPr>
                <w:sz w:val="20"/>
                <w:szCs w:val="20"/>
                <w:shd w:val="clear" w:color="auto" w:fill="FFFFFF"/>
              </w:rPr>
              <w:t>COMUNI</w:t>
            </w:r>
          </w:p>
        </w:tc>
        <w:tc>
          <w:tcPr>
            <w:tcW w:w="1473"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center"/>
              <w:rPr>
                <w:b/>
                <w:bCs/>
                <w:sz w:val="20"/>
                <w:szCs w:val="20"/>
                <w:shd w:val="clear" w:color="auto" w:fill="FFFFFF"/>
              </w:rPr>
            </w:pPr>
            <w:r>
              <w:rPr>
                <w:b/>
                <w:bCs/>
                <w:sz w:val="20"/>
                <w:szCs w:val="20"/>
                <w:shd w:val="clear" w:color="auto" w:fill="FFFFFF"/>
              </w:rPr>
              <w:t>TOTALE GENERALE</w:t>
            </w:r>
          </w:p>
        </w:tc>
      </w:tr>
      <w:tr w:rsidR="008710F2" w:rsidTr="008710F2">
        <w:trPr>
          <w:jc w:val="center"/>
        </w:trPr>
        <w:tc>
          <w:tcPr>
            <w:tcW w:w="368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tcPr>
          <w:p w:rsidR="008710F2" w:rsidRDefault="008710F2">
            <w:pPr>
              <w:spacing w:line="276" w:lineRule="auto"/>
              <w:rPr>
                <w:sz w:val="20"/>
                <w:szCs w:val="20"/>
                <w:shd w:val="clear" w:color="auto" w:fill="FFFFFF"/>
              </w:rPr>
            </w:pPr>
          </w:p>
        </w:tc>
        <w:tc>
          <w:tcPr>
            <w:tcW w:w="1481"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sz w:val="20"/>
                <w:szCs w:val="20"/>
                <w:shd w:val="clear" w:color="auto" w:fill="FFFFFF"/>
              </w:rPr>
            </w:pPr>
          </w:p>
        </w:tc>
        <w:tc>
          <w:tcPr>
            <w:tcW w:w="1482"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sz w:val="20"/>
                <w:szCs w:val="20"/>
                <w:shd w:val="clear" w:color="auto" w:fill="FFFFFF"/>
              </w:rPr>
            </w:pPr>
          </w:p>
        </w:tc>
        <w:tc>
          <w:tcPr>
            <w:tcW w:w="1482"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sz w:val="20"/>
                <w:szCs w:val="20"/>
                <w:shd w:val="clear" w:color="auto" w:fill="FFFFFF"/>
              </w:rPr>
            </w:pPr>
          </w:p>
        </w:tc>
        <w:tc>
          <w:tcPr>
            <w:tcW w:w="1473"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b/>
                <w:bCs/>
                <w:sz w:val="20"/>
                <w:szCs w:val="20"/>
                <w:shd w:val="clear" w:color="auto" w:fill="FFFFFF"/>
              </w:rPr>
            </w:pPr>
          </w:p>
        </w:tc>
      </w:tr>
      <w:tr w:rsidR="008710F2" w:rsidTr="008710F2">
        <w:trPr>
          <w:jc w:val="center"/>
        </w:trPr>
        <w:tc>
          <w:tcPr>
            <w:tcW w:w="368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sz w:val="20"/>
                <w:szCs w:val="20"/>
                <w:shd w:val="clear" w:color="auto" w:fill="FFFFFF"/>
              </w:rPr>
            </w:pPr>
            <w:r>
              <w:rPr>
                <w:sz w:val="20"/>
                <w:szCs w:val="20"/>
                <w:shd w:val="clear" w:color="auto" w:fill="FFFFFF"/>
              </w:rPr>
              <w:t>SPESA CORRENTE</w:t>
            </w:r>
          </w:p>
        </w:tc>
        <w:tc>
          <w:tcPr>
            <w:tcW w:w="148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145,470</w:t>
            </w:r>
          </w:p>
          <w:p w:rsidR="008710F2" w:rsidRDefault="008710F2">
            <w:pPr>
              <w:spacing w:line="276" w:lineRule="auto"/>
              <w:jc w:val="right"/>
              <w:rPr>
                <w:sz w:val="20"/>
                <w:szCs w:val="20"/>
                <w:shd w:val="clear" w:color="auto" w:fill="FFFFFF"/>
              </w:rPr>
            </w:pPr>
            <w:r>
              <w:rPr>
                <w:sz w:val="20"/>
                <w:szCs w:val="20"/>
                <w:shd w:val="clear" w:color="auto" w:fill="FFFFFF"/>
              </w:rPr>
              <w:t>(89,0%)</w:t>
            </w:r>
          </w:p>
        </w:tc>
        <w:tc>
          <w:tcPr>
            <w:tcW w:w="148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7,987</w:t>
            </w:r>
          </w:p>
          <w:p w:rsidR="008710F2" w:rsidRDefault="008710F2">
            <w:pPr>
              <w:spacing w:line="276" w:lineRule="auto"/>
              <w:jc w:val="right"/>
              <w:rPr>
                <w:sz w:val="20"/>
                <w:szCs w:val="20"/>
                <w:shd w:val="clear" w:color="auto" w:fill="FFFFFF"/>
              </w:rPr>
            </w:pPr>
            <w:r>
              <w:rPr>
                <w:sz w:val="20"/>
                <w:szCs w:val="20"/>
                <w:shd w:val="clear" w:color="auto" w:fill="FFFFFF"/>
              </w:rPr>
              <w:t>(79,0%)</w:t>
            </w:r>
          </w:p>
        </w:tc>
        <w:tc>
          <w:tcPr>
            <w:tcW w:w="148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52,365</w:t>
            </w:r>
          </w:p>
          <w:p w:rsidR="008710F2" w:rsidRDefault="008710F2">
            <w:pPr>
              <w:spacing w:line="276" w:lineRule="auto"/>
              <w:jc w:val="right"/>
              <w:rPr>
                <w:sz w:val="20"/>
                <w:szCs w:val="20"/>
                <w:shd w:val="clear" w:color="auto" w:fill="FFFFFF"/>
              </w:rPr>
            </w:pPr>
            <w:r>
              <w:rPr>
                <w:sz w:val="20"/>
                <w:szCs w:val="20"/>
                <w:shd w:val="clear" w:color="auto" w:fill="FFFFFF"/>
              </w:rPr>
              <w:t>(78,5%)</w:t>
            </w:r>
          </w:p>
        </w:tc>
        <w:tc>
          <w:tcPr>
            <w:tcW w:w="147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20"/>
                <w:szCs w:val="20"/>
                <w:shd w:val="clear" w:color="auto" w:fill="FFFFFF"/>
              </w:rPr>
            </w:pPr>
            <w:r>
              <w:rPr>
                <w:b/>
                <w:bCs/>
                <w:sz w:val="20"/>
                <w:szCs w:val="20"/>
                <w:shd w:val="clear" w:color="auto" w:fill="FFFFFF"/>
              </w:rPr>
              <w:t>205,822</w:t>
            </w:r>
          </w:p>
          <w:p w:rsidR="008710F2" w:rsidRDefault="008710F2">
            <w:pPr>
              <w:spacing w:line="276" w:lineRule="auto"/>
              <w:jc w:val="right"/>
              <w:rPr>
                <w:b/>
                <w:bCs/>
                <w:sz w:val="20"/>
                <w:szCs w:val="20"/>
                <w:shd w:val="clear" w:color="auto" w:fill="FFFFFF"/>
              </w:rPr>
            </w:pPr>
            <w:r>
              <w:rPr>
                <w:b/>
                <w:bCs/>
                <w:sz w:val="20"/>
                <w:szCs w:val="20"/>
                <w:shd w:val="clear" w:color="auto" w:fill="FFFFFF"/>
              </w:rPr>
              <w:t>(85,7%)</w:t>
            </w:r>
          </w:p>
        </w:tc>
      </w:tr>
      <w:tr w:rsidR="008710F2" w:rsidTr="008710F2">
        <w:trPr>
          <w:jc w:val="center"/>
        </w:trPr>
        <w:tc>
          <w:tcPr>
            <w:tcW w:w="368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tcPr>
          <w:p w:rsidR="008710F2" w:rsidRDefault="008710F2">
            <w:pPr>
              <w:spacing w:line="276" w:lineRule="auto"/>
              <w:rPr>
                <w:sz w:val="20"/>
                <w:szCs w:val="20"/>
                <w:shd w:val="clear" w:color="auto" w:fill="FFFFFF"/>
              </w:rPr>
            </w:pPr>
          </w:p>
        </w:tc>
        <w:tc>
          <w:tcPr>
            <w:tcW w:w="1481"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sz w:val="20"/>
                <w:szCs w:val="20"/>
                <w:shd w:val="clear" w:color="auto" w:fill="FFFFFF"/>
              </w:rPr>
            </w:pPr>
          </w:p>
        </w:tc>
        <w:tc>
          <w:tcPr>
            <w:tcW w:w="1482"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sz w:val="20"/>
                <w:szCs w:val="20"/>
                <w:shd w:val="clear" w:color="auto" w:fill="FFFFFF"/>
              </w:rPr>
            </w:pPr>
          </w:p>
        </w:tc>
        <w:tc>
          <w:tcPr>
            <w:tcW w:w="1482"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sz w:val="20"/>
                <w:szCs w:val="20"/>
                <w:shd w:val="clear" w:color="auto" w:fill="FFFFFF"/>
              </w:rPr>
            </w:pPr>
          </w:p>
        </w:tc>
        <w:tc>
          <w:tcPr>
            <w:tcW w:w="1473"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b/>
                <w:bCs/>
                <w:sz w:val="20"/>
                <w:szCs w:val="20"/>
                <w:shd w:val="clear" w:color="auto" w:fill="FFFFFF"/>
              </w:rPr>
            </w:pPr>
          </w:p>
        </w:tc>
      </w:tr>
      <w:tr w:rsidR="008710F2" w:rsidTr="008710F2">
        <w:trPr>
          <w:jc w:val="center"/>
        </w:trPr>
        <w:tc>
          <w:tcPr>
            <w:tcW w:w="368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sz w:val="20"/>
                <w:szCs w:val="20"/>
                <w:shd w:val="clear" w:color="auto" w:fill="FFFFFF"/>
              </w:rPr>
            </w:pPr>
            <w:r>
              <w:rPr>
                <w:sz w:val="20"/>
                <w:szCs w:val="20"/>
                <w:shd w:val="clear" w:color="auto" w:fill="FFFFFF"/>
              </w:rPr>
              <w:t>SPESA PER INVESTIMENTI</w:t>
            </w:r>
          </w:p>
        </w:tc>
        <w:tc>
          <w:tcPr>
            <w:tcW w:w="148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17,951</w:t>
            </w:r>
          </w:p>
          <w:p w:rsidR="008710F2" w:rsidRDefault="008710F2">
            <w:pPr>
              <w:spacing w:line="276" w:lineRule="auto"/>
              <w:jc w:val="right"/>
              <w:rPr>
                <w:sz w:val="20"/>
                <w:szCs w:val="20"/>
                <w:shd w:val="clear" w:color="auto" w:fill="FFFFFF"/>
              </w:rPr>
            </w:pPr>
            <w:r>
              <w:rPr>
                <w:sz w:val="20"/>
                <w:szCs w:val="20"/>
                <w:shd w:val="clear" w:color="auto" w:fill="FFFFFF"/>
              </w:rPr>
              <w:t>(11,0%)</w:t>
            </w:r>
          </w:p>
        </w:tc>
        <w:tc>
          <w:tcPr>
            <w:tcW w:w="148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2,125</w:t>
            </w:r>
          </w:p>
          <w:p w:rsidR="008710F2" w:rsidRDefault="008710F2">
            <w:pPr>
              <w:spacing w:line="276" w:lineRule="auto"/>
              <w:jc w:val="right"/>
              <w:rPr>
                <w:sz w:val="20"/>
                <w:szCs w:val="20"/>
                <w:shd w:val="clear" w:color="auto" w:fill="FFFFFF"/>
              </w:rPr>
            </w:pPr>
            <w:r>
              <w:rPr>
                <w:sz w:val="20"/>
                <w:szCs w:val="20"/>
                <w:shd w:val="clear" w:color="auto" w:fill="FFFFFF"/>
              </w:rPr>
              <w:t>(21,0%)</w:t>
            </w:r>
          </w:p>
        </w:tc>
        <w:tc>
          <w:tcPr>
            <w:tcW w:w="148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14,367</w:t>
            </w:r>
          </w:p>
          <w:p w:rsidR="008710F2" w:rsidRDefault="008710F2">
            <w:pPr>
              <w:spacing w:line="276" w:lineRule="auto"/>
              <w:jc w:val="right"/>
              <w:rPr>
                <w:sz w:val="20"/>
                <w:szCs w:val="20"/>
                <w:shd w:val="clear" w:color="auto" w:fill="FFFFFF"/>
              </w:rPr>
            </w:pPr>
            <w:r>
              <w:rPr>
                <w:sz w:val="20"/>
                <w:szCs w:val="20"/>
                <w:shd w:val="clear" w:color="auto" w:fill="FFFFFF"/>
              </w:rPr>
              <w:t>(21,5%)</w:t>
            </w:r>
          </w:p>
        </w:tc>
        <w:tc>
          <w:tcPr>
            <w:tcW w:w="147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20"/>
                <w:szCs w:val="20"/>
                <w:shd w:val="clear" w:color="auto" w:fill="FFFFFF"/>
              </w:rPr>
            </w:pPr>
            <w:r>
              <w:rPr>
                <w:b/>
                <w:bCs/>
                <w:sz w:val="20"/>
                <w:szCs w:val="20"/>
                <w:shd w:val="clear" w:color="auto" w:fill="FFFFFF"/>
              </w:rPr>
              <w:t>34,443</w:t>
            </w:r>
          </w:p>
          <w:p w:rsidR="008710F2" w:rsidRDefault="008710F2">
            <w:pPr>
              <w:spacing w:line="276" w:lineRule="auto"/>
              <w:jc w:val="right"/>
              <w:rPr>
                <w:b/>
                <w:bCs/>
                <w:sz w:val="20"/>
                <w:szCs w:val="20"/>
                <w:shd w:val="clear" w:color="auto" w:fill="FFFFFF"/>
              </w:rPr>
            </w:pPr>
            <w:r>
              <w:rPr>
                <w:b/>
                <w:bCs/>
                <w:sz w:val="20"/>
                <w:szCs w:val="20"/>
                <w:shd w:val="clear" w:color="auto" w:fill="FFFFFF"/>
              </w:rPr>
              <w:t>(14,3%)</w:t>
            </w:r>
          </w:p>
        </w:tc>
      </w:tr>
      <w:tr w:rsidR="008710F2" w:rsidTr="008710F2">
        <w:trPr>
          <w:jc w:val="center"/>
        </w:trPr>
        <w:tc>
          <w:tcPr>
            <w:tcW w:w="368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tcPr>
          <w:p w:rsidR="008710F2" w:rsidRDefault="008710F2">
            <w:pPr>
              <w:spacing w:line="276" w:lineRule="auto"/>
              <w:rPr>
                <w:sz w:val="20"/>
                <w:szCs w:val="20"/>
                <w:shd w:val="clear" w:color="auto" w:fill="FFFFFF"/>
              </w:rPr>
            </w:pPr>
          </w:p>
        </w:tc>
        <w:tc>
          <w:tcPr>
            <w:tcW w:w="1481"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sz w:val="20"/>
                <w:szCs w:val="20"/>
                <w:shd w:val="clear" w:color="auto" w:fill="FFFFFF"/>
              </w:rPr>
            </w:pPr>
          </w:p>
        </w:tc>
        <w:tc>
          <w:tcPr>
            <w:tcW w:w="1482"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sz w:val="20"/>
                <w:szCs w:val="20"/>
                <w:shd w:val="clear" w:color="auto" w:fill="FFFFFF"/>
              </w:rPr>
            </w:pPr>
          </w:p>
        </w:tc>
        <w:tc>
          <w:tcPr>
            <w:tcW w:w="1482"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sz w:val="20"/>
                <w:szCs w:val="20"/>
                <w:shd w:val="clear" w:color="auto" w:fill="FFFFFF"/>
              </w:rPr>
            </w:pPr>
          </w:p>
        </w:tc>
        <w:tc>
          <w:tcPr>
            <w:tcW w:w="1473"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b/>
                <w:bCs/>
                <w:sz w:val="20"/>
                <w:szCs w:val="20"/>
                <w:shd w:val="clear" w:color="auto" w:fill="FFFFFF"/>
              </w:rPr>
            </w:pPr>
          </w:p>
        </w:tc>
      </w:tr>
      <w:tr w:rsidR="008710F2" w:rsidTr="008710F2">
        <w:trPr>
          <w:jc w:val="center"/>
        </w:trPr>
        <w:tc>
          <w:tcPr>
            <w:tcW w:w="368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sz w:val="20"/>
                <w:szCs w:val="20"/>
                <w:shd w:val="clear" w:color="auto" w:fill="FFFFFF"/>
              </w:rPr>
            </w:pPr>
            <w:r>
              <w:rPr>
                <w:sz w:val="20"/>
                <w:szCs w:val="20"/>
                <w:shd w:val="clear" w:color="auto" w:fill="FFFFFF"/>
              </w:rPr>
              <w:t xml:space="preserve">TOTALE SPESA </w:t>
            </w:r>
          </w:p>
        </w:tc>
        <w:tc>
          <w:tcPr>
            <w:tcW w:w="148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20"/>
                <w:szCs w:val="20"/>
                <w:shd w:val="clear" w:color="auto" w:fill="FFFFFF"/>
              </w:rPr>
            </w:pPr>
            <w:r>
              <w:rPr>
                <w:b/>
                <w:bCs/>
                <w:sz w:val="20"/>
                <w:szCs w:val="20"/>
                <w:shd w:val="clear" w:color="auto" w:fill="FFFFFF"/>
              </w:rPr>
              <w:t>163,421</w:t>
            </w:r>
          </w:p>
        </w:tc>
        <w:tc>
          <w:tcPr>
            <w:tcW w:w="148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20"/>
                <w:szCs w:val="20"/>
                <w:shd w:val="clear" w:color="auto" w:fill="FFFFFF"/>
              </w:rPr>
            </w:pPr>
            <w:r>
              <w:rPr>
                <w:b/>
                <w:bCs/>
                <w:sz w:val="20"/>
                <w:szCs w:val="20"/>
                <w:shd w:val="clear" w:color="auto" w:fill="FFFFFF"/>
              </w:rPr>
              <w:t>10,112</w:t>
            </w:r>
          </w:p>
        </w:tc>
        <w:tc>
          <w:tcPr>
            <w:tcW w:w="148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20"/>
                <w:szCs w:val="20"/>
                <w:shd w:val="clear" w:color="auto" w:fill="FFFFFF"/>
              </w:rPr>
            </w:pPr>
            <w:r>
              <w:rPr>
                <w:b/>
                <w:bCs/>
                <w:sz w:val="20"/>
                <w:szCs w:val="20"/>
                <w:shd w:val="clear" w:color="auto" w:fill="FFFFFF"/>
              </w:rPr>
              <w:t>66,732</w:t>
            </w:r>
          </w:p>
        </w:tc>
        <w:tc>
          <w:tcPr>
            <w:tcW w:w="147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20"/>
                <w:szCs w:val="20"/>
                <w:shd w:val="clear" w:color="auto" w:fill="FFFFFF"/>
              </w:rPr>
            </w:pPr>
            <w:r>
              <w:rPr>
                <w:b/>
                <w:bCs/>
                <w:sz w:val="20"/>
                <w:szCs w:val="20"/>
                <w:shd w:val="clear" w:color="auto" w:fill="FFFFFF"/>
              </w:rPr>
              <w:t>240,265</w:t>
            </w:r>
          </w:p>
        </w:tc>
      </w:tr>
      <w:tr w:rsidR="008710F2" w:rsidTr="008710F2">
        <w:trPr>
          <w:jc w:val="center"/>
        </w:trPr>
        <w:tc>
          <w:tcPr>
            <w:tcW w:w="368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shd w:val="clear" w:color="auto" w:fill="FFFFFF"/>
              </w:rPr>
            </w:pPr>
            <w:r>
              <w:rPr>
                <w:b/>
                <w:bCs/>
                <w:sz w:val="16"/>
                <w:szCs w:val="16"/>
                <w:shd w:val="clear" w:color="auto" w:fill="FFFFFF"/>
              </w:rPr>
              <w:t xml:space="preserve">Spesa totale in € per abitante (59.600.000) </w:t>
            </w:r>
          </w:p>
        </w:tc>
        <w:tc>
          <w:tcPr>
            <w:tcW w:w="148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16"/>
                <w:szCs w:val="16"/>
                <w:shd w:val="clear" w:color="auto" w:fill="FFFFFF"/>
              </w:rPr>
            </w:pPr>
            <w:r>
              <w:rPr>
                <w:b/>
                <w:bCs/>
                <w:sz w:val="16"/>
                <w:szCs w:val="16"/>
                <w:shd w:val="clear" w:color="auto" w:fill="FFFFFF"/>
              </w:rPr>
              <w:t>2.742 euro</w:t>
            </w:r>
          </w:p>
        </w:tc>
        <w:tc>
          <w:tcPr>
            <w:tcW w:w="148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16"/>
                <w:szCs w:val="16"/>
                <w:shd w:val="clear" w:color="auto" w:fill="FFFFFF"/>
              </w:rPr>
            </w:pPr>
            <w:r>
              <w:rPr>
                <w:b/>
                <w:bCs/>
                <w:sz w:val="16"/>
                <w:szCs w:val="16"/>
                <w:shd w:val="clear" w:color="auto" w:fill="FFFFFF"/>
              </w:rPr>
              <w:t>169,7 euro</w:t>
            </w:r>
          </w:p>
        </w:tc>
        <w:tc>
          <w:tcPr>
            <w:tcW w:w="148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16"/>
                <w:szCs w:val="16"/>
                <w:shd w:val="clear" w:color="auto" w:fill="FFFFFF"/>
              </w:rPr>
            </w:pPr>
            <w:r>
              <w:rPr>
                <w:b/>
                <w:bCs/>
                <w:sz w:val="16"/>
                <w:szCs w:val="16"/>
                <w:shd w:val="clear" w:color="auto" w:fill="FFFFFF"/>
              </w:rPr>
              <w:t>1.119,7 euro</w:t>
            </w:r>
          </w:p>
        </w:tc>
        <w:tc>
          <w:tcPr>
            <w:tcW w:w="147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16"/>
                <w:szCs w:val="16"/>
                <w:shd w:val="clear" w:color="auto" w:fill="FFFFFF"/>
              </w:rPr>
            </w:pPr>
            <w:r>
              <w:rPr>
                <w:b/>
                <w:bCs/>
                <w:sz w:val="16"/>
                <w:szCs w:val="16"/>
                <w:shd w:val="clear" w:color="auto" w:fill="FFFFFF"/>
              </w:rPr>
              <w:t>4.031,3 euro</w:t>
            </w:r>
          </w:p>
        </w:tc>
      </w:tr>
    </w:tbl>
    <w:p w:rsidR="008710F2" w:rsidRDefault="008710F2" w:rsidP="008710F2">
      <w:pPr>
        <w:rPr>
          <w:shd w:val="clear" w:color="auto" w:fill="FFFFFF"/>
        </w:rPr>
      </w:pPr>
    </w:p>
    <w:p w:rsidR="008710F2" w:rsidRDefault="008710F2" w:rsidP="008710F2">
      <w:pPr>
        <w:rPr>
          <w:shd w:val="clear" w:color="auto" w:fill="FFFFFF"/>
        </w:rPr>
      </w:pPr>
    </w:p>
    <w:p w:rsidR="008710F2" w:rsidRDefault="008710F2" w:rsidP="008710F2">
      <w:pPr>
        <w:rPr>
          <w:shd w:val="clear" w:color="auto" w:fill="FFFFFF"/>
        </w:rPr>
      </w:pPr>
      <w:r>
        <w:rPr>
          <w:shd w:val="clear" w:color="auto" w:fill="FFFFFF"/>
        </w:rPr>
        <w:t xml:space="preserve">Da rilevare l’alta incidenza delle spese correnti delle Regioni (89%) sul totale della spesa complessiva regionale, rispetto alle spese correnti delle province (79%) e dei Comuni (78,5%). </w:t>
      </w:r>
    </w:p>
    <w:p w:rsidR="008710F2" w:rsidRDefault="008710F2" w:rsidP="008710F2">
      <w:pPr>
        <w:rPr>
          <w:shd w:val="clear" w:color="auto" w:fill="FFFFFF"/>
        </w:rPr>
      </w:pPr>
      <w:r>
        <w:rPr>
          <w:shd w:val="clear" w:color="auto" w:fill="FFFFFF"/>
        </w:rPr>
        <w:t>Complessivamente, gli enti locali impegnano per spese correnti  l’85,7 per cento della spesa totale, mentre destinano agli investimenti solo il 14,3 per cento.</w:t>
      </w:r>
    </w:p>
    <w:p w:rsidR="008710F2" w:rsidRDefault="008710F2" w:rsidP="008710F2">
      <w:pPr>
        <w:rPr>
          <w:shd w:val="clear" w:color="auto" w:fill="FFFFFF"/>
        </w:rPr>
      </w:pPr>
    </w:p>
    <w:p w:rsidR="008710F2" w:rsidRDefault="008710F2" w:rsidP="008710F2">
      <w:pPr>
        <w:rPr>
          <w:shd w:val="clear" w:color="auto" w:fill="FFFFFF"/>
        </w:rPr>
      </w:pPr>
      <w:r>
        <w:rPr>
          <w:shd w:val="clear" w:color="auto" w:fill="FFFFFF"/>
        </w:rPr>
        <w:t xml:space="preserve">Dei 240,265 miliardi di spesa complessiva degli enti locali, oltre 163 miliardi (il 68%) sono imputabili alle Regioni; poco più di 10 miliardi (il 4,2%) alle Province; 66,7 miliardi (il 27,8%) ai Comuni. </w:t>
      </w:r>
    </w:p>
    <w:p w:rsidR="008710F2" w:rsidRDefault="008710F2" w:rsidP="008710F2">
      <w:pPr>
        <w:rPr>
          <w:shd w:val="clear" w:color="auto" w:fill="FFFFFF"/>
        </w:rPr>
      </w:pPr>
      <w:r>
        <w:rPr>
          <w:shd w:val="clear" w:color="auto" w:fill="FFFFFF"/>
        </w:rPr>
        <w:t>In altri termini, ogni italiano contribuisce al funzionamento di Regioni, Province e Comuni con 4.031,3 euro l’anno: 2.742 per le Regioni; 169,7 per le Province; 1.119,7 per i Comuni.</w:t>
      </w:r>
    </w:p>
    <w:p w:rsidR="008710F2" w:rsidRDefault="008710F2" w:rsidP="008710F2">
      <w:pPr>
        <w:rPr>
          <w:shd w:val="clear" w:color="auto" w:fill="FFFFFF"/>
        </w:rPr>
      </w:pPr>
    </w:p>
    <w:p w:rsidR="008710F2" w:rsidRDefault="008710F2" w:rsidP="008710F2">
      <w:pPr>
        <w:rPr>
          <w:shd w:val="clear" w:color="auto" w:fill="FFFFFF"/>
        </w:rPr>
      </w:pPr>
      <w:r>
        <w:rPr>
          <w:shd w:val="clear" w:color="auto" w:fill="FFFFFF"/>
        </w:rPr>
        <w:t xml:space="preserve">E’ quindi evidente come la </w:t>
      </w:r>
      <w:proofErr w:type="spellStart"/>
      <w:r>
        <w:rPr>
          <w:shd w:val="clear" w:color="auto" w:fill="FFFFFF"/>
        </w:rPr>
        <w:t>spending</w:t>
      </w:r>
      <w:proofErr w:type="spellEnd"/>
      <w:r>
        <w:rPr>
          <w:shd w:val="clear" w:color="auto" w:fill="FFFFFF"/>
        </w:rPr>
        <w:t xml:space="preserve"> </w:t>
      </w:r>
      <w:proofErr w:type="spellStart"/>
      <w:r>
        <w:rPr>
          <w:shd w:val="clear" w:color="auto" w:fill="FFFFFF"/>
        </w:rPr>
        <w:t>review</w:t>
      </w:r>
      <w:proofErr w:type="spellEnd"/>
      <w:r>
        <w:rPr>
          <w:shd w:val="clear" w:color="auto" w:fill="FFFFFF"/>
        </w:rPr>
        <w:t xml:space="preserve"> e la revisione della struttura costituzionale degli enti locali farebbero bene ad occuparsi delle Regioni prima ancora che delle Province.</w:t>
      </w:r>
    </w:p>
    <w:p w:rsidR="008710F2" w:rsidRDefault="008710F2" w:rsidP="008710F2"/>
    <w:p w:rsidR="008710F2" w:rsidRDefault="008710F2" w:rsidP="008710F2">
      <w:r>
        <w:lastRenderedPageBreak/>
        <w:t>In una più recente ricerca sui bilanci regionali del 2012, Roberto Perotti (lavoce.info del 22 novembre 2013), riporta dati quantitativi e finanziari disaggregati per le Regioni:</w:t>
      </w:r>
    </w:p>
    <w:p w:rsidR="008710F2" w:rsidRDefault="008710F2" w:rsidP="008710F2"/>
    <w:p w:rsidR="008710F2" w:rsidRDefault="008710F2" w:rsidP="008710F2"/>
    <w:p w:rsidR="008710F2" w:rsidRDefault="008710F2" w:rsidP="008710F2">
      <w:pPr>
        <w:jc w:val="center"/>
        <w:rPr>
          <w:b/>
          <w:bCs/>
          <w:sz w:val="22"/>
          <w:szCs w:val="22"/>
        </w:rPr>
      </w:pPr>
      <w:proofErr w:type="spellStart"/>
      <w:r>
        <w:rPr>
          <w:b/>
          <w:bCs/>
          <w:sz w:val="22"/>
          <w:szCs w:val="22"/>
        </w:rPr>
        <w:t>Tab</w:t>
      </w:r>
      <w:proofErr w:type="spellEnd"/>
      <w:r>
        <w:rPr>
          <w:b/>
          <w:bCs/>
          <w:sz w:val="22"/>
          <w:szCs w:val="22"/>
        </w:rPr>
        <w:t xml:space="preserve">. 2- Spesa delle Regioni. Anno 2012 </w:t>
      </w:r>
    </w:p>
    <w:p w:rsidR="008710F2" w:rsidRDefault="008710F2" w:rsidP="008710F2">
      <w:pPr>
        <w:jc w:val="center"/>
        <w:rPr>
          <w:b/>
          <w:bCs/>
          <w:sz w:val="22"/>
          <w:szCs w:val="22"/>
        </w:rPr>
      </w:pPr>
      <w:r>
        <w:rPr>
          <w:b/>
          <w:bCs/>
          <w:sz w:val="22"/>
          <w:szCs w:val="22"/>
        </w:rPr>
        <w:t>Spese per Consiglieri in servizio e cessati, spesa per il personale, contributi ai gruppi.</w:t>
      </w:r>
    </w:p>
    <w:p w:rsidR="008710F2" w:rsidRDefault="008710F2" w:rsidP="008710F2">
      <w:pPr>
        <w:jc w:val="center"/>
        <w:rPr>
          <w:b/>
          <w:bCs/>
          <w:sz w:val="22"/>
          <w:szCs w:val="22"/>
        </w:rPr>
      </w:pPr>
      <w:r>
        <w:rPr>
          <w:b/>
          <w:bCs/>
          <w:sz w:val="22"/>
          <w:szCs w:val="22"/>
        </w:rPr>
        <w:t>Fonte R. Perotti su lavoce.info (*)</w:t>
      </w:r>
    </w:p>
    <w:p w:rsidR="008710F2" w:rsidRDefault="008710F2" w:rsidP="008710F2">
      <w:pPr>
        <w:jc w:val="center"/>
        <w:rPr>
          <w:b/>
          <w:bCs/>
          <w:sz w:val="22"/>
          <w:szCs w:val="22"/>
        </w:rPr>
      </w:pPr>
      <w:r>
        <w:rPr>
          <w:b/>
          <w:bCs/>
          <w:sz w:val="22"/>
          <w:szCs w:val="22"/>
        </w:rPr>
        <w:t xml:space="preserve">In migliaia di euro. (In </w:t>
      </w:r>
      <w:r>
        <w:rPr>
          <w:b/>
          <w:bCs/>
          <w:color w:val="FF0000"/>
          <w:sz w:val="22"/>
          <w:szCs w:val="22"/>
        </w:rPr>
        <w:t>rosso</w:t>
      </w:r>
      <w:r>
        <w:rPr>
          <w:b/>
          <w:bCs/>
          <w:sz w:val="22"/>
          <w:szCs w:val="22"/>
        </w:rPr>
        <w:t xml:space="preserve"> il dato massimo per colonna)</w:t>
      </w:r>
    </w:p>
    <w:p w:rsidR="008710F2" w:rsidRDefault="008710F2" w:rsidP="008710F2"/>
    <w:tbl>
      <w:tblPr>
        <w:tblW w:w="8340" w:type="dxa"/>
        <w:jc w:val="center"/>
        <w:tblCellMar>
          <w:left w:w="0" w:type="dxa"/>
          <w:right w:w="0" w:type="dxa"/>
        </w:tblCellMar>
        <w:tblLook w:val="04A0" w:firstRow="1" w:lastRow="0" w:firstColumn="1" w:lastColumn="0" w:noHBand="0" w:noVBand="1"/>
      </w:tblPr>
      <w:tblGrid>
        <w:gridCol w:w="1056"/>
        <w:gridCol w:w="731"/>
        <w:gridCol w:w="786"/>
        <w:gridCol w:w="1009"/>
        <w:gridCol w:w="754"/>
        <w:gridCol w:w="773"/>
        <w:gridCol w:w="681"/>
        <w:gridCol w:w="751"/>
        <w:gridCol w:w="1011"/>
        <w:gridCol w:w="788"/>
      </w:tblGrid>
      <w:tr w:rsidR="008710F2" w:rsidTr="008710F2">
        <w:trPr>
          <w:jc w:val="center"/>
        </w:trPr>
        <w:tc>
          <w:tcPr>
            <w:tcW w:w="1276" w:type="dxa"/>
            <w:tcBorders>
              <w:top w:val="single" w:sz="8"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tcPr>
          <w:p w:rsidR="008710F2" w:rsidRDefault="008710F2">
            <w:pPr>
              <w:spacing w:line="276" w:lineRule="auto"/>
              <w:jc w:val="center"/>
              <w:rPr>
                <w:b/>
                <w:bCs/>
                <w:sz w:val="16"/>
                <w:szCs w:val="16"/>
                <w:lang w:eastAsia="en-US"/>
              </w:rPr>
            </w:pPr>
          </w:p>
        </w:tc>
        <w:tc>
          <w:tcPr>
            <w:tcW w:w="1012"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ind w:left="-143" w:right="-53"/>
              <w:jc w:val="center"/>
              <w:rPr>
                <w:b/>
                <w:bCs/>
                <w:sz w:val="14"/>
                <w:szCs w:val="14"/>
              </w:rPr>
            </w:pPr>
            <w:r>
              <w:rPr>
                <w:b/>
                <w:bCs/>
                <w:sz w:val="14"/>
                <w:szCs w:val="14"/>
              </w:rPr>
              <w:t>Numero</w:t>
            </w:r>
          </w:p>
          <w:p w:rsidR="008710F2" w:rsidRDefault="008710F2">
            <w:pPr>
              <w:spacing w:line="276" w:lineRule="auto"/>
              <w:ind w:left="-143" w:right="-53"/>
              <w:jc w:val="center"/>
              <w:rPr>
                <w:b/>
                <w:bCs/>
                <w:sz w:val="14"/>
                <w:szCs w:val="14"/>
                <w:lang w:eastAsia="en-US"/>
              </w:rPr>
            </w:pPr>
            <w:r>
              <w:rPr>
                <w:b/>
                <w:bCs/>
                <w:sz w:val="14"/>
                <w:szCs w:val="14"/>
              </w:rPr>
              <w:t>Consiglieri</w:t>
            </w:r>
          </w:p>
        </w:tc>
        <w:tc>
          <w:tcPr>
            <w:tcW w:w="1013"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ind w:left="-143" w:right="-53"/>
              <w:jc w:val="center"/>
              <w:rPr>
                <w:b/>
                <w:bCs/>
                <w:sz w:val="14"/>
                <w:szCs w:val="14"/>
                <w:lang w:eastAsia="en-US"/>
              </w:rPr>
            </w:pPr>
            <w:proofErr w:type="spellStart"/>
            <w:r>
              <w:rPr>
                <w:b/>
                <w:bCs/>
                <w:sz w:val="14"/>
                <w:szCs w:val="14"/>
              </w:rPr>
              <w:t>Remuner</w:t>
            </w:r>
            <w:proofErr w:type="spellEnd"/>
            <w:r>
              <w:rPr>
                <w:b/>
                <w:bCs/>
                <w:sz w:val="14"/>
                <w:szCs w:val="14"/>
              </w:rPr>
              <w:t>. media per Consigliere</w:t>
            </w:r>
          </w:p>
        </w:tc>
        <w:tc>
          <w:tcPr>
            <w:tcW w:w="1014"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ind w:left="-143" w:right="-53"/>
              <w:jc w:val="center"/>
              <w:rPr>
                <w:b/>
                <w:bCs/>
                <w:sz w:val="14"/>
                <w:szCs w:val="14"/>
              </w:rPr>
            </w:pPr>
            <w:r>
              <w:rPr>
                <w:b/>
                <w:bCs/>
                <w:sz w:val="14"/>
                <w:szCs w:val="14"/>
              </w:rPr>
              <w:t>Consiglieri in servizio</w:t>
            </w:r>
          </w:p>
        </w:tc>
        <w:tc>
          <w:tcPr>
            <w:tcW w:w="1014"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ind w:left="-143" w:right="-53"/>
              <w:jc w:val="center"/>
              <w:rPr>
                <w:b/>
                <w:bCs/>
                <w:sz w:val="14"/>
                <w:szCs w:val="14"/>
                <w:lang w:eastAsia="en-US"/>
              </w:rPr>
            </w:pPr>
            <w:r>
              <w:rPr>
                <w:b/>
                <w:bCs/>
                <w:sz w:val="14"/>
                <w:szCs w:val="14"/>
              </w:rPr>
              <w:t>Consiglieri cessati dal servizio</w:t>
            </w:r>
          </w:p>
        </w:tc>
        <w:tc>
          <w:tcPr>
            <w:tcW w:w="993"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ind w:left="-143" w:right="-53"/>
              <w:jc w:val="center"/>
              <w:rPr>
                <w:b/>
                <w:bCs/>
                <w:sz w:val="14"/>
                <w:szCs w:val="14"/>
                <w:lang w:eastAsia="en-US"/>
              </w:rPr>
            </w:pPr>
            <w:r>
              <w:rPr>
                <w:b/>
                <w:bCs/>
                <w:sz w:val="14"/>
                <w:szCs w:val="14"/>
              </w:rPr>
              <w:t>Personale</w:t>
            </w:r>
          </w:p>
        </w:tc>
        <w:tc>
          <w:tcPr>
            <w:tcW w:w="992"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ind w:left="-143" w:right="-53"/>
              <w:jc w:val="center"/>
              <w:rPr>
                <w:b/>
                <w:bCs/>
                <w:sz w:val="14"/>
                <w:szCs w:val="14"/>
                <w:lang w:eastAsia="en-US"/>
              </w:rPr>
            </w:pPr>
            <w:r>
              <w:rPr>
                <w:b/>
                <w:bCs/>
                <w:sz w:val="14"/>
                <w:szCs w:val="14"/>
              </w:rPr>
              <w:t>Contributi ai Gruppi Consiliari</w:t>
            </w:r>
          </w:p>
        </w:tc>
        <w:tc>
          <w:tcPr>
            <w:tcW w:w="850"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ind w:left="-143" w:right="-53"/>
              <w:jc w:val="center"/>
              <w:rPr>
                <w:b/>
                <w:bCs/>
                <w:sz w:val="14"/>
                <w:szCs w:val="14"/>
                <w:lang w:eastAsia="en-US"/>
              </w:rPr>
            </w:pPr>
            <w:r>
              <w:rPr>
                <w:b/>
                <w:bCs/>
                <w:sz w:val="14"/>
                <w:szCs w:val="14"/>
              </w:rPr>
              <w:t>Altre Spese</w:t>
            </w:r>
          </w:p>
        </w:tc>
        <w:tc>
          <w:tcPr>
            <w:tcW w:w="1134"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ind w:left="34" w:right="-53"/>
              <w:jc w:val="center"/>
              <w:rPr>
                <w:b/>
                <w:bCs/>
                <w:sz w:val="14"/>
                <w:szCs w:val="14"/>
                <w:lang w:eastAsia="en-US"/>
              </w:rPr>
            </w:pPr>
            <w:r>
              <w:rPr>
                <w:b/>
                <w:bCs/>
                <w:sz w:val="14"/>
                <w:szCs w:val="14"/>
              </w:rPr>
              <w:t>Spesa Totale</w:t>
            </w:r>
          </w:p>
        </w:tc>
        <w:tc>
          <w:tcPr>
            <w:tcW w:w="1134"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ind w:left="-143" w:right="-53"/>
              <w:jc w:val="center"/>
              <w:rPr>
                <w:b/>
                <w:bCs/>
                <w:sz w:val="14"/>
                <w:szCs w:val="14"/>
                <w:lang w:eastAsia="en-US"/>
              </w:rPr>
            </w:pPr>
            <w:r>
              <w:rPr>
                <w:b/>
                <w:bCs/>
                <w:sz w:val="14"/>
                <w:szCs w:val="14"/>
              </w:rPr>
              <w:t>Spese totali per ciascun Consigliere</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Abruzzo</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45</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194</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8.750</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4.846</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8.596</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2.074</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4.843</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29.109</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697</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Basilicata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27</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215</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5.809</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4.009</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7.782</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1.626</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2.092</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21.318</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 xml:space="preserve">790    </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Calabria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51</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color w:val="FF0000"/>
                <w:sz w:val="20"/>
                <w:szCs w:val="20"/>
                <w:shd w:val="clear" w:color="auto" w:fill="FFFFFF"/>
              </w:rPr>
              <w:t>281</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14.335</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10.238</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33.996</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5.858</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14.506</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78.933</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1.548</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Campania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61</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217</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13.218</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12.895</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24.647</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4.454</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11.144</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66.358</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1.088</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Emilia-Rom.</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52</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118</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6.140</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4.689</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10.719</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5.250</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7.000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33.798</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650</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Friuli V.G.</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64</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156</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9.965</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7.972</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7.620</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5.020</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2.381</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32.958</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515</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Lazio</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color w:val="FF0000"/>
                <w:sz w:val="20"/>
                <w:szCs w:val="20"/>
                <w:shd w:val="clear" w:color="auto" w:fill="FFFFFF"/>
              </w:rPr>
              <w:t>71</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270</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19.202</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15.970</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716</w:t>
            </w:r>
            <w:r>
              <w:rPr>
                <w:b/>
                <w:bCs/>
                <w:sz w:val="20"/>
                <w:szCs w:val="20"/>
                <w:shd w:val="clear" w:color="auto" w:fill="FFFFFF"/>
              </w:rPr>
              <w:t>(sic)</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color w:val="FF0000"/>
                <w:sz w:val="20"/>
                <w:szCs w:val="20"/>
                <w:shd w:val="clear" w:color="auto" w:fill="FFFFFF"/>
              </w:rPr>
              <w:t>13.414</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color w:val="FF0000"/>
                <w:sz w:val="20"/>
                <w:szCs w:val="20"/>
                <w:shd w:val="clear" w:color="auto" w:fill="FFFFFF"/>
              </w:rPr>
              <w:t>34.591</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83.893</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1.182</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Liguria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40</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155</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13.346</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5.095</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6.394</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3.602</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4.108</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32.545</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686</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Lombardia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80</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214</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17.103</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10.451</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20.826</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11.288</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8.784</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68.452</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856</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Marche</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43</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174</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7.497</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5.038</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5.184</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3.577</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746</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22.042</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513</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Molise</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30</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183</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5.477</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9 (</w:t>
            </w:r>
            <w:r>
              <w:rPr>
                <w:b/>
                <w:bCs/>
                <w:sz w:val="20"/>
                <w:szCs w:val="20"/>
                <w:shd w:val="clear" w:color="auto" w:fill="FFFFFF"/>
              </w:rPr>
              <w:t>sic)</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4.674</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2.345</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1.634</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14.139</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471</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Piemonte</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60</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244</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14.613</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7.728</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21.145</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7.411</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10.783</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61.680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1.028</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Puglia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70</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226</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15.795</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14.404</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13.177</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5.308</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4.126</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52.810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754</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Sardegna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80</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240</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19.175</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16.678</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28.364</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4.281</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5.472</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73.970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925</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Sicilia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90</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229</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color w:val="FF0000"/>
                <w:sz w:val="20"/>
                <w:szCs w:val="20"/>
                <w:shd w:val="clear" w:color="auto" w:fill="FFFFFF"/>
              </w:rPr>
              <w:t>20.628</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color w:val="FF0000"/>
                <w:sz w:val="20"/>
                <w:szCs w:val="20"/>
                <w:shd w:val="clear" w:color="auto" w:fill="FFFFFF"/>
              </w:rPr>
              <w:t>20.200</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color w:val="FF0000"/>
                <w:sz w:val="20"/>
                <w:szCs w:val="20"/>
                <w:shd w:val="clear" w:color="auto" w:fill="FFFFFF"/>
              </w:rPr>
              <w:t>86.675</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12.292</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16.312</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b/>
                <w:bCs/>
                <w:sz w:val="20"/>
                <w:szCs w:val="20"/>
                <w:shd w:val="clear" w:color="auto" w:fill="FFFFFF"/>
              </w:rPr>
            </w:pPr>
            <w:r>
              <w:rPr>
                <w:b/>
                <w:bCs/>
                <w:color w:val="FF0000"/>
                <w:sz w:val="20"/>
                <w:szCs w:val="20"/>
                <w:shd w:val="clear" w:color="auto" w:fill="FFFFFF"/>
              </w:rPr>
              <w:t>156.107</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color w:val="FF0000"/>
                <w:sz w:val="20"/>
                <w:szCs w:val="20"/>
                <w:shd w:val="clear" w:color="auto" w:fill="FFFFFF"/>
              </w:rPr>
              <w:t>1.735</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Toscana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55</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168</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9.235</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5.127</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21.729</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716</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9.604</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46.411</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844</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Trentino A.A.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70</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190</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13.275</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12.463</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2.381</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781</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173</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29.073</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415</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Umbria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31</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179</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5.540</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2.674</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7.732</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1.542</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3.976</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21.464</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692</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Valle d’Aosta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35</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140</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4.888</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1.576</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4.116</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601</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3.159</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14.340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410</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Veneto</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62</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189</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11.746</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10.510</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9.947</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4.215</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15.188</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sz w:val="20"/>
                <w:szCs w:val="20"/>
                <w:shd w:val="clear" w:color="auto" w:fill="FFFFFF"/>
              </w:rPr>
            </w:pPr>
            <w:r>
              <w:rPr>
                <w:sz w:val="20"/>
                <w:szCs w:val="20"/>
                <w:shd w:val="clear" w:color="auto" w:fill="FFFFFF"/>
              </w:rPr>
              <w:t>51.606</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sz w:val="20"/>
                <w:szCs w:val="20"/>
                <w:shd w:val="clear" w:color="auto" w:fill="FFFFFF"/>
              </w:rPr>
            </w:pPr>
            <w:r>
              <w:rPr>
                <w:sz w:val="20"/>
                <w:szCs w:val="20"/>
                <w:shd w:val="clear" w:color="auto" w:fill="FFFFFF"/>
              </w:rPr>
              <w:t>832</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rPr>
                <w:b/>
                <w:bCs/>
                <w:sz w:val="16"/>
                <w:szCs w:val="16"/>
                <w:lang w:eastAsia="en-US"/>
              </w:rPr>
            </w:pPr>
            <w:r>
              <w:rPr>
                <w:b/>
                <w:bCs/>
                <w:sz w:val="16"/>
                <w:szCs w:val="16"/>
              </w:rPr>
              <w:t>Italia</w:t>
            </w:r>
          </w:p>
        </w:tc>
        <w:tc>
          <w:tcPr>
            <w:tcW w:w="101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sz w:val="20"/>
                <w:szCs w:val="20"/>
                <w:shd w:val="clear" w:color="auto" w:fill="FFFFFF"/>
              </w:rPr>
              <w:t>1.117</w:t>
            </w:r>
          </w:p>
        </w:tc>
        <w:tc>
          <w:tcPr>
            <w:tcW w:w="101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sz w:val="20"/>
                <w:szCs w:val="20"/>
                <w:shd w:val="clear" w:color="auto" w:fill="FFFFFF"/>
              </w:rPr>
              <w:t>204</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sz w:val="20"/>
                <w:szCs w:val="20"/>
                <w:shd w:val="clear" w:color="auto" w:fill="FFFFFF"/>
              </w:rPr>
              <w:t>228.608</w:t>
            </w:r>
          </w:p>
        </w:tc>
        <w:tc>
          <w:tcPr>
            <w:tcW w:w="101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sz w:val="20"/>
                <w:szCs w:val="20"/>
                <w:shd w:val="clear" w:color="auto" w:fill="FFFFFF"/>
              </w:rPr>
              <w:t>172.572</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sz w:val="20"/>
                <w:szCs w:val="20"/>
                <w:shd w:val="clear" w:color="auto" w:fill="FFFFFF"/>
              </w:rPr>
              <w:t>326.420</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sz w:val="20"/>
                <w:szCs w:val="20"/>
                <w:shd w:val="clear" w:color="auto" w:fill="FFFFFF"/>
              </w:rPr>
              <w:t>95.655</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sz w:val="20"/>
                <w:szCs w:val="20"/>
                <w:shd w:val="clear" w:color="auto" w:fill="FFFFFF"/>
              </w:rPr>
              <w:t>160.622</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34" w:right="-53"/>
              <w:jc w:val="right"/>
              <w:rPr>
                <w:b/>
                <w:bCs/>
                <w:sz w:val="20"/>
                <w:szCs w:val="20"/>
                <w:shd w:val="clear" w:color="auto" w:fill="FFFFFF"/>
              </w:rPr>
            </w:pPr>
            <w:r>
              <w:rPr>
                <w:b/>
                <w:bCs/>
                <w:sz w:val="20"/>
                <w:szCs w:val="20"/>
                <w:shd w:val="clear" w:color="auto" w:fill="FFFFFF"/>
              </w:rPr>
              <w:t>985.911</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ind w:left="-143" w:right="-53"/>
              <w:jc w:val="right"/>
              <w:rPr>
                <w:b/>
                <w:bCs/>
                <w:sz w:val="20"/>
                <w:szCs w:val="20"/>
                <w:shd w:val="clear" w:color="auto" w:fill="FFFFFF"/>
              </w:rPr>
            </w:pPr>
            <w:r>
              <w:rPr>
                <w:b/>
                <w:bCs/>
                <w:sz w:val="20"/>
                <w:szCs w:val="20"/>
                <w:shd w:val="clear" w:color="auto" w:fill="FFFFFF"/>
              </w:rPr>
              <w:t>882</w:t>
            </w:r>
          </w:p>
        </w:tc>
      </w:tr>
      <w:tr w:rsidR="008710F2" w:rsidTr="008710F2">
        <w:trPr>
          <w:jc w:val="center"/>
        </w:trPr>
        <w:tc>
          <w:tcPr>
            <w:tcW w:w="127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8710F2" w:rsidRDefault="008710F2">
            <w:pPr>
              <w:spacing w:line="276" w:lineRule="auto"/>
              <w:rPr>
                <w:b/>
                <w:bCs/>
                <w:sz w:val="16"/>
                <w:szCs w:val="16"/>
              </w:rPr>
            </w:pPr>
          </w:p>
        </w:tc>
        <w:tc>
          <w:tcPr>
            <w:tcW w:w="1012"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ind w:left="-143" w:right="-53"/>
              <w:jc w:val="right"/>
              <w:rPr>
                <w:b/>
                <w:bCs/>
                <w:sz w:val="20"/>
                <w:szCs w:val="20"/>
                <w:shd w:val="clear" w:color="auto" w:fill="FFFFFF"/>
              </w:rPr>
            </w:pPr>
          </w:p>
        </w:tc>
        <w:tc>
          <w:tcPr>
            <w:tcW w:w="1013"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ind w:left="-143" w:right="-53"/>
              <w:jc w:val="right"/>
              <w:rPr>
                <w:b/>
                <w:bCs/>
                <w:sz w:val="20"/>
                <w:szCs w:val="20"/>
                <w:shd w:val="clear" w:color="auto" w:fill="FFFFFF"/>
              </w:rPr>
            </w:pPr>
          </w:p>
        </w:tc>
        <w:tc>
          <w:tcPr>
            <w:tcW w:w="1014"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ind w:left="-143" w:right="-53"/>
              <w:jc w:val="right"/>
              <w:rPr>
                <w:b/>
                <w:bCs/>
                <w:sz w:val="20"/>
                <w:szCs w:val="20"/>
                <w:shd w:val="clear" w:color="auto" w:fill="FFFFFF"/>
              </w:rPr>
            </w:pPr>
          </w:p>
        </w:tc>
        <w:tc>
          <w:tcPr>
            <w:tcW w:w="1014"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ind w:left="-143" w:right="-53"/>
              <w:jc w:val="right"/>
              <w:rPr>
                <w:b/>
                <w:bCs/>
                <w:sz w:val="20"/>
                <w:szCs w:val="20"/>
                <w:shd w:val="clear" w:color="auto" w:fill="FFFFFF"/>
              </w:rPr>
            </w:pPr>
          </w:p>
        </w:tc>
        <w:tc>
          <w:tcPr>
            <w:tcW w:w="993"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ind w:left="-143" w:right="-53"/>
              <w:jc w:val="right"/>
              <w:rPr>
                <w:b/>
                <w:bCs/>
                <w:sz w:val="20"/>
                <w:szCs w:val="20"/>
                <w:shd w:val="clear" w:color="auto" w:fill="FFFFFF"/>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ind w:left="-143" w:right="-53"/>
              <w:jc w:val="right"/>
              <w:rPr>
                <w:b/>
                <w:bCs/>
                <w:sz w:val="20"/>
                <w:szCs w:val="20"/>
                <w:shd w:val="clear" w:color="auto" w:fill="FFFFFF"/>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ind w:left="-143" w:right="-53"/>
              <w:jc w:val="right"/>
              <w:rPr>
                <w:b/>
                <w:bCs/>
                <w:sz w:val="20"/>
                <w:szCs w:val="20"/>
                <w:shd w:val="clear" w:color="auto" w:fill="FFFFFF"/>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ind w:left="34" w:right="-53"/>
              <w:jc w:val="right"/>
              <w:rPr>
                <w:b/>
                <w:bCs/>
                <w:sz w:val="20"/>
                <w:szCs w:val="20"/>
                <w:shd w:val="clear" w:color="auto" w:fill="FFFFFF"/>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ind w:left="-143" w:right="-53"/>
              <w:jc w:val="right"/>
              <w:rPr>
                <w:b/>
                <w:bCs/>
                <w:sz w:val="20"/>
                <w:szCs w:val="20"/>
                <w:shd w:val="clear" w:color="auto" w:fill="FFFFFF"/>
              </w:rPr>
            </w:pPr>
          </w:p>
        </w:tc>
      </w:tr>
      <w:tr w:rsidR="008710F2" w:rsidTr="008710F2">
        <w:trPr>
          <w:jc w:val="center"/>
        </w:trPr>
        <w:tc>
          <w:tcPr>
            <w:tcW w:w="3301" w:type="dxa"/>
            <w:gridSpan w:val="3"/>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hideMark/>
          </w:tcPr>
          <w:p w:rsidR="008710F2" w:rsidRDefault="008710F2">
            <w:pPr>
              <w:spacing w:line="276" w:lineRule="auto"/>
              <w:rPr>
                <w:sz w:val="16"/>
                <w:szCs w:val="16"/>
              </w:rPr>
            </w:pPr>
            <w:r>
              <w:rPr>
                <w:sz w:val="16"/>
                <w:szCs w:val="16"/>
              </w:rPr>
              <w:t>Colonne 4 e 9. Totali effettivi discrepanti con i totali riportati dalle tabelle di R. Perotti.</w:t>
            </w:r>
          </w:p>
          <w:p w:rsidR="008710F2" w:rsidRDefault="008710F2">
            <w:pPr>
              <w:spacing w:line="276" w:lineRule="auto"/>
              <w:rPr>
                <w:sz w:val="20"/>
                <w:szCs w:val="20"/>
                <w:shd w:val="clear" w:color="auto" w:fill="FFFFFF"/>
              </w:rPr>
            </w:pPr>
            <w:r>
              <w:rPr>
                <w:sz w:val="16"/>
                <w:szCs w:val="16"/>
              </w:rPr>
              <w:t>M. Novelli</w:t>
            </w:r>
          </w:p>
        </w:tc>
        <w:tc>
          <w:tcPr>
            <w:tcW w:w="1014" w:type="dxa"/>
            <w:tcBorders>
              <w:top w:val="nil"/>
              <w:left w:val="nil"/>
              <w:bottom w:val="single" w:sz="8" w:space="0" w:color="auto"/>
              <w:right w:val="single" w:sz="8" w:space="0" w:color="auto"/>
            </w:tcBorders>
            <w:shd w:val="clear" w:color="auto" w:fill="FFFF00"/>
            <w:tcMar>
              <w:top w:w="0" w:type="dxa"/>
              <w:left w:w="108" w:type="dxa"/>
              <w:bottom w:w="0" w:type="dxa"/>
              <w:right w:w="108" w:type="dxa"/>
            </w:tcMar>
            <w:vAlign w:val="center"/>
            <w:hideMark/>
          </w:tcPr>
          <w:p w:rsidR="008710F2" w:rsidRDefault="008710F2">
            <w:pPr>
              <w:spacing w:line="276" w:lineRule="auto"/>
              <w:jc w:val="right"/>
              <w:rPr>
                <w:sz w:val="22"/>
                <w:szCs w:val="22"/>
              </w:rPr>
            </w:pPr>
            <w:r>
              <w:rPr>
                <w:sz w:val="22"/>
                <w:szCs w:val="22"/>
              </w:rPr>
              <w:t>235.737</w:t>
            </w:r>
          </w:p>
        </w:tc>
        <w:tc>
          <w:tcPr>
            <w:tcW w:w="1014" w:type="dxa"/>
            <w:tcBorders>
              <w:top w:val="nil"/>
              <w:left w:val="nil"/>
              <w:bottom w:val="single" w:sz="8" w:space="0" w:color="auto"/>
              <w:right w:val="single" w:sz="8" w:space="0" w:color="auto"/>
            </w:tcBorders>
            <w:shd w:val="clear" w:color="auto" w:fill="FFFF00"/>
            <w:tcMar>
              <w:top w:w="0" w:type="dxa"/>
              <w:left w:w="108" w:type="dxa"/>
              <w:bottom w:w="0" w:type="dxa"/>
              <w:right w:w="108" w:type="dxa"/>
            </w:tcMar>
            <w:vAlign w:val="center"/>
          </w:tcPr>
          <w:p w:rsidR="008710F2" w:rsidRDefault="008710F2">
            <w:pPr>
              <w:spacing w:line="276" w:lineRule="auto"/>
              <w:jc w:val="right"/>
              <w:rPr>
                <w:sz w:val="22"/>
                <w:szCs w:val="22"/>
              </w:rPr>
            </w:pPr>
          </w:p>
        </w:tc>
        <w:tc>
          <w:tcPr>
            <w:tcW w:w="993" w:type="dxa"/>
            <w:tcBorders>
              <w:top w:val="nil"/>
              <w:left w:val="nil"/>
              <w:bottom w:val="single" w:sz="8" w:space="0" w:color="auto"/>
              <w:right w:val="single" w:sz="8" w:space="0" w:color="auto"/>
            </w:tcBorders>
            <w:shd w:val="clear" w:color="auto" w:fill="FFFF00"/>
            <w:tcMar>
              <w:top w:w="0" w:type="dxa"/>
              <w:left w:w="108" w:type="dxa"/>
              <w:bottom w:w="0" w:type="dxa"/>
              <w:right w:w="108" w:type="dxa"/>
            </w:tcMar>
            <w:vAlign w:val="center"/>
          </w:tcPr>
          <w:p w:rsidR="008710F2" w:rsidRDefault="008710F2">
            <w:pPr>
              <w:spacing w:line="276" w:lineRule="auto"/>
              <w:jc w:val="right"/>
              <w:rPr>
                <w:sz w:val="22"/>
                <w:szCs w:val="22"/>
              </w:rPr>
            </w:pPr>
          </w:p>
        </w:tc>
        <w:tc>
          <w:tcPr>
            <w:tcW w:w="992" w:type="dxa"/>
            <w:tcBorders>
              <w:top w:val="nil"/>
              <w:left w:val="nil"/>
              <w:bottom w:val="single" w:sz="8" w:space="0" w:color="auto"/>
              <w:right w:val="single" w:sz="8" w:space="0" w:color="auto"/>
            </w:tcBorders>
            <w:shd w:val="clear" w:color="auto" w:fill="FFFF00"/>
            <w:tcMar>
              <w:top w:w="0" w:type="dxa"/>
              <w:left w:w="108" w:type="dxa"/>
              <w:bottom w:w="0" w:type="dxa"/>
              <w:right w:w="108" w:type="dxa"/>
            </w:tcMar>
            <w:vAlign w:val="center"/>
          </w:tcPr>
          <w:p w:rsidR="008710F2" w:rsidRDefault="008710F2">
            <w:pPr>
              <w:spacing w:line="276" w:lineRule="auto"/>
              <w:jc w:val="right"/>
              <w:rPr>
                <w:sz w:val="22"/>
                <w:szCs w:val="22"/>
              </w:rPr>
            </w:pPr>
          </w:p>
        </w:tc>
        <w:tc>
          <w:tcPr>
            <w:tcW w:w="85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vAlign w:val="center"/>
          </w:tcPr>
          <w:p w:rsidR="008710F2" w:rsidRDefault="008710F2">
            <w:pPr>
              <w:spacing w:line="276" w:lineRule="auto"/>
              <w:jc w:val="right"/>
              <w:rPr>
                <w:sz w:val="22"/>
                <w:szCs w:val="22"/>
              </w:rPr>
            </w:pPr>
          </w:p>
        </w:tc>
        <w:tc>
          <w:tcPr>
            <w:tcW w:w="1134" w:type="dxa"/>
            <w:tcBorders>
              <w:top w:val="nil"/>
              <w:left w:val="nil"/>
              <w:bottom w:val="single" w:sz="8" w:space="0" w:color="auto"/>
              <w:right w:val="single" w:sz="8" w:space="0" w:color="auto"/>
            </w:tcBorders>
            <w:shd w:val="clear" w:color="auto" w:fill="FFFF00"/>
            <w:tcMar>
              <w:top w:w="0" w:type="dxa"/>
              <w:left w:w="108" w:type="dxa"/>
              <w:bottom w:w="0" w:type="dxa"/>
              <w:right w:w="108" w:type="dxa"/>
            </w:tcMar>
            <w:vAlign w:val="center"/>
            <w:hideMark/>
          </w:tcPr>
          <w:p w:rsidR="008710F2" w:rsidRDefault="008710F2">
            <w:pPr>
              <w:spacing w:line="276" w:lineRule="auto"/>
              <w:jc w:val="right"/>
              <w:rPr>
                <w:sz w:val="22"/>
                <w:szCs w:val="22"/>
              </w:rPr>
            </w:pPr>
            <w:r>
              <w:rPr>
                <w:sz w:val="22"/>
                <w:szCs w:val="22"/>
              </w:rPr>
              <w:t>991.006</w:t>
            </w:r>
          </w:p>
        </w:tc>
        <w:tc>
          <w:tcPr>
            <w:tcW w:w="1134" w:type="dxa"/>
            <w:tcBorders>
              <w:top w:val="nil"/>
              <w:left w:val="nil"/>
              <w:bottom w:val="single" w:sz="8" w:space="0" w:color="auto"/>
              <w:right w:val="single" w:sz="8" w:space="0" w:color="auto"/>
            </w:tcBorders>
            <w:shd w:val="clear" w:color="auto" w:fill="FFFF00"/>
            <w:tcMar>
              <w:top w:w="0" w:type="dxa"/>
              <w:left w:w="108" w:type="dxa"/>
              <w:bottom w:w="0" w:type="dxa"/>
              <w:right w:w="108" w:type="dxa"/>
            </w:tcMar>
          </w:tcPr>
          <w:p w:rsidR="008710F2" w:rsidRDefault="008710F2">
            <w:pPr>
              <w:spacing w:line="276" w:lineRule="auto"/>
              <w:ind w:left="-143" w:right="-53"/>
              <w:jc w:val="right"/>
              <w:rPr>
                <w:sz w:val="20"/>
                <w:szCs w:val="20"/>
                <w:shd w:val="clear" w:color="auto" w:fill="FFFFFF"/>
              </w:rPr>
            </w:pPr>
          </w:p>
        </w:tc>
      </w:tr>
    </w:tbl>
    <w:p w:rsidR="008710F2" w:rsidRDefault="008710F2" w:rsidP="008710F2">
      <w:pPr>
        <w:rPr>
          <w:sz w:val="16"/>
          <w:szCs w:val="16"/>
        </w:rPr>
      </w:pPr>
    </w:p>
    <w:p w:rsidR="008710F2" w:rsidRDefault="008710F2" w:rsidP="008710F2">
      <w:pPr>
        <w:rPr>
          <w:sz w:val="16"/>
          <w:szCs w:val="16"/>
        </w:rPr>
      </w:pPr>
      <w:r>
        <w:rPr>
          <w:sz w:val="16"/>
          <w:szCs w:val="16"/>
        </w:rPr>
        <w:t xml:space="preserve">(*) Riportiamo la tabella con i dati ricavati da R. Perotti, anche se alcuni “totali” risultano discrepanti con i totali effettivi da me ricavati (ultima riga marcata in giallo). </w:t>
      </w:r>
    </w:p>
    <w:p w:rsidR="008710F2" w:rsidRDefault="008710F2" w:rsidP="008710F2"/>
    <w:p w:rsidR="008710F2" w:rsidRDefault="008710F2" w:rsidP="008710F2">
      <w:pPr>
        <w:rPr>
          <w:shd w:val="clear" w:color="auto" w:fill="FFFFFF"/>
        </w:rPr>
      </w:pPr>
      <w:r>
        <w:rPr>
          <w:shd w:val="clear" w:color="auto" w:fill="FFFFFF"/>
        </w:rPr>
        <w:t>Circa gli emolumenti dei Consiglieri, è la Regione Calabria la più generosa, con 281mila euro contro una media nazionale di 204mila. La Calabria è però sopravanzata dalla Regione Sicilia  per la spesa complessiva per consigliere (ultima colonna) con 1,735 milioni, seguita proprio la Calabria con 1,548 milioni di euro.</w:t>
      </w:r>
    </w:p>
    <w:p w:rsidR="008710F2" w:rsidRDefault="008710F2" w:rsidP="008710F2">
      <w:pPr>
        <w:rPr>
          <w:shd w:val="clear" w:color="auto" w:fill="FFFFFF"/>
        </w:rPr>
      </w:pPr>
    </w:p>
    <w:p w:rsidR="008710F2" w:rsidRDefault="008710F2" w:rsidP="008710F2">
      <w:pPr>
        <w:rPr>
          <w:shd w:val="clear" w:color="auto" w:fill="FFFFFF"/>
        </w:rPr>
      </w:pPr>
      <w:r>
        <w:rPr>
          <w:shd w:val="clear" w:color="auto" w:fill="FFFFFF"/>
        </w:rPr>
        <w:t xml:space="preserve">Dalla </w:t>
      </w:r>
      <w:proofErr w:type="spellStart"/>
      <w:r>
        <w:rPr>
          <w:b/>
          <w:bCs/>
          <w:shd w:val="clear" w:color="auto" w:fill="FFFFFF"/>
        </w:rPr>
        <w:t>Tab</w:t>
      </w:r>
      <w:proofErr w:type="spellEnd"/>
      <w:r>
        <w:rPr>
          <w:b/>
          <w:bCs/>
          <w:shd w:val="clear" w:color="auto" w:fill="FFFFFF"/>
        </w:rPr>
        <w:t>. 2-</w:t>
      </w:r>
      <w:r>
        <w:rPr>
          <w:shd w:val="clear" w:color="auto" w:fill="FFFFFF"/>
        </w:rPr>
        <w:t xml:space="preserve"> ricaviamo il dato sia della spesa totale per i Consiglieri in servizio, pari a 228,608 milioni, che quella per pensioni e vitalizi dei Consiglieri cessati dal servizio, pari a 172,572 milioni. </w:t>
      </w:r>
    </w:p>
    <w:p w:rsidR="008710F2" w:rsidRDefault="008710F2" w:rsidP="008710F2">
      <w:pPr>
        <w:rPr>
          <w:shd w:val="clear" w:color="auto" w:fill="FFFFFF"/>
        </w:rPr>
      </w:pPr>
      <w:r>
        <w:rPr>
          <w:shd w:val="clear" w:color="auto" w:fill="FFFFFF"/>
        </w:rPr>
        <w:t>Di rilevanza il dato Siciliano per la spesa complessiva per i Consiglieri in servizio (20,628 milioni) e quella per i Consiglieri cessati (20,200 milioni).</w:t>
      </w:r>
    </w:p>
    <w:p w:rsidR="008710F2" w:rsidRDefault="008710F2" w:rsidP="008710F2">
      <w:pPr>
        <w:rPr>
          <w:shd w:val="clear" w:color="auto" w:fill="FFFFFF"/>
        </w:rPr>
      </w:pPr>
      <w:r>
        <w:rPr>
          <w:shd w:val="clear" w:color="auto" w:fill="FFFFFF"/>
        </w:rPr>
        <w:t>Circa i contributi ai gruppi consiliari, la Regione Lazio è la più munifica con oltre 13 milioni, seguita dalla Sicilia con oltre 12 milioni e dalla Lombardia con oltre 11 milioni.</w:t>
      </w:r>
    </w:p>
    <w:p w:rsidR="008710F2" w:rsidRDefault="008710F2" w:rsidP="008710F2">
      <w:pPr>
        <w:rPr>
          <w:shd w:val="clear" w:color="auto" w:fill="FFFFFF"/>
        </w:rPr>
      </w:pPr>
      <w:r>
        <w:rPr>
          <w:shd w:val="clear" w:color="auto" w:fill="FFFFFF"/>
        </w:rPr>
        <w:t>Si consideri inoltre che, nel 2012, le regioni hanno erogato ai gruppi consiliari contributi pari a 85.635 euro per ogni consigliere, 28 mila euro ciascuno in più, mediamente, rispetto a quanto versato dal Senato e dalla Camera ai gruppi parlamentari: 57.539 euro pro-capite</w:t>
      </w:r>
    </w:p>
    <w:p w:rsidR="008710F2" w:rsidRDefault="008710F2" w:rsidP="008710F2">
      <w:pPr>
        <w:rPr>
          <w:shd w:val="clear" w:color="auto" w:fill="FFFFFF"/>
        </w:rPr>
      </w:pPr>
    </w:p>
    <w:p w:rsidR="008710F2" w:rsidRDefault="008710F2" w:rsidP="008710F2">
      <w:pPr>
        <w:rPr>
          <w:shd w:val="clear" w:color="auto" w:fill="FFFFFF"/>
        </w:rPr>
      </w:pPr>
      <w:r>
        <w:rPr>
          <w:shd w:val="clear" w:color="auto" w:fill="FFFFFF"/>
        </w:rPr>
        <w:t>In ultima analisi, il “funzionamento della politica”  in ambito regionale, escluse le spese dell’Amministrazione, costa 995,911 milioni: ogni italiano contribuisce con 16,7 euro l’anno</w:t>
      </w:r>
    </w:p>
    <w:p w:rsidR="008710F2" w:rsidRDefault="008710F2" w:rsidP="008710F2">
      <w:pPr>
        <w:rPr>
          <w:shd w:val="clear" w:color="auto" w:fill="FFFFFF"/>
        </w:rPr>
      </w:pPr>
    </w:p>
    <w:p w:rsidR="008710F2" w:rsidRDefault="008710F2" w:rsidP="008710F2">
      <w:pPr>
        <w:rPr>
          <w:shd w:val="clear" w:color="auto" w:fill="FFFFFF"/>
        </w:rPr>
      </w:pPr>
      <w:r>
        <w:rPr>
          <w:shd w:val="clear" w:color="auto" w:fill="FFFFFF"/>
        </w:rPr>
        <w:t xml:space="preserve">Una ricerca del Sole 24 Ore del settembre 2012 </w:t>
      </w:r>
      <w:r>
        <w:rPr>
          <w:b/>
          <w:bCs/>
          <w:shd w:val="clear" w:color="auto" w:fill="FFFFFF"/>
        </w:rPr>
        <w:t>(TAB. 3-)</w:t>
      </w:r>
      <w:r>
        <w:rPr>
          <w:shd w:val="clear" w:color="auto" w:fill="FFFFFF"/>
        </w:rPr>
        <w:t xml:space="preserve"> fornisce, tra gli altri dati, una analisi comparativa per regione circa il numero dei gruppi, il numero dei gruppi con un solo iscritto, la spesa per abitante di studi e consulenze.</w:t>
      </w:r>
    </w:p>
    <w:p w:rsidR="008710F2" w:rsidRDefault="008710F2" w:rsidP="008710F2">
      <w:pPr>
        <w:rPr>
          <w:shd w:val="clear" w:color="auto" w:fill="FFFFFF"/>
        </w:rPr>
      </w:pPr>
      <w:r>
        <w:rPr>
          <w:shd w:val="clear" w:color="auto" w:fill="FFFFFF"/>
        </w:rPr>
        <w:t>Al di là del numero gruppi consiliari, è interessante la rilevazione dei gruppi costituiti da un solo consigliere: su un totale di 221 gruppi, ben 73 hanno un solo iscritto. In valore assoluto, spicca il dato del Molise dove i 30 consiglieri hanno dato luogo a 17 gruppi di cui ben 10 sono costituiti da un solo iscritto. In Basilicata 9 dei 12 gruppi contano un solo consigliere; in Umbria 6 su 10 gruppi, nelle Marche 9 su 15. Ecco la tabella:</w:t>
      </w:r>
    </w:p>
    <w:p w:rsidR="008710F2" w:rsidRDefault="008710F2" w:rsidP="008710F2">
      <w:pPr>
        <w:jc w:val="center"/>
        <w:rPr>
          <w:b/>
          <w:bCs/>
          <w:sz w:val="22"/>
          <w:szCs w:val="22"/>
        </w:rPr>
      </w:pPr>
    </w:p>
    <w:p w:rsidR="008710F2" w:rsidRDefault="008710F2" w:rsidP="008710F2">
      <w:pPr>
        <w:jc w:val="center"/>
        <w:rPr>
          <w:b/>
          <w:bCs/>
          <w:sz w:val="22"/>
          <w:szCs w:val="22"/>
        </w:rPr>
      </w:pPr>
      <w:r>
        <w:rPr>
          <w:b/>
          <w:bCs/>
          <w:sz w:val="22"/>
          <w:szCs w:val="22"/>
        </w:rPr>
        <w:t xml:space="preserve">TAB. 3- Regioni. Numero gruppi consiliari, posizioni con indennità aggiuntive, costo consulenze per abitante. Fonte il Sole 24 ORE (9-2012). </w:t>
      </w:r>
    </w:p>
    <w:p w:rsidR="008710F2" w:rsidRDefault="008710F2" w:rsidP="008710F2">
      <w:pPr>
        <w:jc w:val="center"/>
        <w:rPr>
          <w:b/>
          <w:bCs/>
          <w:sz w:val="22"/>
          <w:szCs w:val="22"/>
        </w:rPr>
      </w:pPr>
      <w:r>
        <w:rPr>
          <w:b/>
          <w:bCs/>
          <w:sz w:val="22"/>
          <w:szCs w:val="22"/>
        </w:rPr>
        <w:t xml:space="preserve">(In </w:t>
      </w:r>
      <w:r>
        <w:rPr>
          <w:b/>
          <w:bCs/>
          <w:color w:val="FF0000"/>
          <w:sz w:val="22"/>
          <w:szCs w:val="22"/>
        </w:rPr>
        <w:t>rosso</w:t>
      </w:r>
      <w:r>
        <w:rPr>
          <w:b/>
          <w:bCs/>
          <w:sz w:val="22"/>
          <w:szCs w:val="22"/>
        </w:rPr>
        <w:t xml:space="preserve"> il dato massimo per colonna)</w:t>
      </w:r>
    </w:p>
    <w:p w:rsidR="008710F2" w:rsidRDefault="008710F2" w:rsidP="008710F2"/>
    <w:tbl>
      <w:tblPr>
        <w:tblW w:w="6996" w:type="dxa"/>
        <w:jc w:val="center"/>
        <w:tblInd w:w="-1233" w:type="dxa"/>
        <w:tblCellMar>
          <w:left w:w="0" w:type="dxa"/>
          <w:right w:w="0" w:type="dxa"/>
        </w:tblCellMar>
        <w:tblLook w:val="04A0" w:firstRow="1" w:lastRow="0" w:firstColumn="1" w:lastColumn="0" w:noHBand="0" w:noVBand="1"/>
      </w:tblPr>
      <w:tblGrid>
        <w:gridCol w:w="1652"/>
        <w:gridCol w:w="1151"/>
        <w:gridCol w:w="1301"/>
        <w:gridCol w:w="1522"/>
        <w:gridCol w:w="1370"/>
      </w:tblGrid>
      <w:tr w:rsidR="008710F2" w:rsidTr="008710F2">
        <w:trPr>
          <w:jc w:val="center"/>
        </w:trPr>
        <w:tc>
          <w:tcPr>
            <w:tcW w:w="2192" w:type="dxa"/>
            <w:tcBorders>
              <w:top w:val="single" w:sz="8"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tcPr>
          <w:p w:rsidR="008710F2" w:rsidRDefault="008710F2">
            <w:pPr>
              <w:spacing w:line="276" w:lineRule="auto"/>
              <w:jc w:val="left"/>
              <w:rPr>
                <w:b/>
                <w:bCs/>
                <w:sz w:val="16"/>
                <w:szCs w:val="16"/>
                <w:lang w:eastAsia="en-US"/>
              </w:rPr>
            </w:pPr>
          </w:p>
        </w:tc>
        <w:tc>
          <w:tcPr>
            <w:tcW w:w="1457"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center"/>
              <w:rPr>
                <w:b/>
                <w:bCs/>
                <w:sz w:val="16"/>
                <w:szCs w:val="16"/>
                <w:lang w:eastAsia="en-US"/>
              </w:rPr>
            </w:pPr>
            <w:r>
              <w:rPr>
                <w:b/>
                <w:bCs/>
                <w:sz w:val="16"/>
                <w:szCs w:val="16"/>
                <w:lang w:eastAsia="en-US"/>
              </w:rPr>
              <w:t>Numero Gruppi consiliari</w:t>
            </w:r>
          </w:p>
        </w:tc>
        <w:tc>
          <w:tcPr>
            <w:tcW w:w="1559"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center"/>
              <w:rPr>
                <w:b/>
                <w:bCs/>
                <w:sz w:val="16"/>
                <w:szCs w:val="16"/>
                <w:lang w:eastAsia="en-US"/>
              </w:rPr>
            </w:pPr>
            <w:r>
              <w:rPr>
                <w:b/>
                <w:bCs/>
                <w:sz w:val="16"/>
                <w:szCs w:val="16"/>
                <w:lang w:eastAsia="en-US"/>
              </w:rPr>
              <w:t xml:space="preserve">Numero Gruppi con un solo </w:t>
            </w:r>
          </w:p>
          <w:p w:rsidR="008710F2" w:rsidRDefault="008710F2">
            <w:pPr>
              <w:spacing w:line="276" w:lineRule="auto"/>
              <w:jc w:val="center"/>
              <w:rPr>
                <w:b/>
                <w:bCs/>
                <w:sz w:val="16"/>
                <w:szCs w:val="16"/>
                <w:lang w:eastAsia="en-US"/>
              </w:rPr>
            </w:pPr>
            <w:r>
              <w:rPr>
                <w:b/>
                <w:bCs/>
                <w:sz w:val="16"/>
                <w:szCs w:val="16"/>
                <w:lang w:eastAsia="en-US"/>
              </w:rPr>
              <w:t>Consigliere</w:t>
            </w:r>
          </w:p>
        </w:tc>
        <w:tc>
          <w:tcPr>
            <w:tcW w:w="1843"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center"/>
              <w:rPr>
                <w:b/>
                <w:bCs/>
                <w:sz w:val="16"/>
                <w:szCs w:val="16"/>
                <w:lang w:eastAsia="en-US"/>
              </w:rPr>
            </w:pPr>
            <w:r>
              <w:rPr>
                <w:b/>
                <w:bCs/>
                <w:sz w:val="16"/>
                <w:szCs w:val="16"/>
                <w:lang w:eastAsia="en-US"/>
              </w:rPr>
              <w:t>Posizioni  con indennità aggiuntive (*)</w:t>
            </w:r>
          </w:p>
        </w:tc>
        <w:tc>
          <w:tcPr>
            <w:tcW w:w="1701" w:type="dxa"/>
            <w:tcBorders>
              <w:top w:val="single" w:sz="8" w:space="0" w:color="auto"/>
              <w:left w:val="nil"/>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center"/>
              <w:rPr>
                <w:b/>
                <w:bCs/>
                <w:sz w:val="16"/>
                <w:szCs w:val="16"/>
                <w:lang w:eastAsia="en-US"/>
              </w:rPr>
            </w:pPr>
            <w:r>
              <w:rPr>
                <w:b/>
                <w:bCs/>
                <w:sz w:val="16"/>
                <w:szCs w:val="16"/>
                <w:lang w:eastAsia="en-US"/>
              </w:rPr>
              <w:t>Spesa per Studi e consulenze</w:t>
            </w:r>
          </w:p>
          <w:p w:rsidR="008710F2" w:rsidRDefault="008710F2">
            <w:pPr>
              <w:spacing w:line="276" w:lineRule="auto"/>
              <w:jc w:val="center"/>
              <w:rPr>
                <w:b/>
                <w:bCs/>
                <w:sz w:val="16"/>
                <w:szCs w:val="16"/>
                <w:lang w:eastAsia="en-US"/>
              </w:rPr>
            </w:pPr>
            <w:r>
              <w:rPr>
                <w:b/>
                <w:bCs/>
                <w:sz w:val="16"/>
                <w:szCs w:val="16"/>
                <w:lang w:eastAsia="en-US"/>
              </w:rPr>
              <w:t>(€ per abitante)</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Abruzzo</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12</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6</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65</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0,4</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Basilicata</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12</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9</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40</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29,1</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Calabria</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9</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60</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21,0</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Campania</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53</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4,1</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Emilia-Rom.</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9</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0</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37</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2,9</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Friuli V.G.</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8</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0</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26</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2,2</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Lazio</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20"/>
                <w:szCs w:val="20"/>
                <w:shd w:val="clear" w:color="auto" w:fill="FFFFFF"/>
              </w:rPr>
            </w:pPr>
            <w:r>
              <w:rPr>
                <w:b/>
                <w:bCs/>
                <w:color w:val="FF0000"/>
                <w:sz w:val="20"/>
                <w:szCs w:val="20"/>
                <w:shd w:val="clear" w:color="auto" w:fill="FFFFFF"/>
              </w:rPr>
              <w:t>17</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8</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20"/>
                <w:szCs w:val="20"/>
                <w:shd w:val="clear" w:color="auto" w:fill="FFFFFF"/>
              </w:rPr>
            </w:pPr>
            <w:r>
              <w:rPr>
                <w:b/>
                <w:bCs/>
                <w:color w:val="FF0000"/>
                <w:sz w:val="20"/>
                <w:szCs w:val="20"/>
                <w:shd w:val="clear" w:color="auto" w:fill="FFFFFF"/>
              </w:rPr>
              <w:t>110</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0,7</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Liguria</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38</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0,5</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Lombardia</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8</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81</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0,7</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Marche</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9</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27</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1,0</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Molise</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20"/>
                <w:szCs w:val="20"/>
                <w:shd w:val="clear" w:color="auto" w:fill="FFFFFF"/>
              </w:rPr>
            </w:pPr>
            <w:r>
              <w:rPr>
                <w:b/>
                <w:bCs/>
                <w:color w:val="FF0000"/>
                <w:sz w:val="20"/>
                <w:szCs w:val="20"/>
                <w:shd w:val="clear" w:color="auto" w:fill="FFFFFF"/>
              </w:rPr>
              <w:t>17</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20"/>
                <w:szCs w:val="20"/>
                <w:shd w:val="clear" w:color="auto" w:fill="FFFFFF"/>
              </w:rPr>
            </w:pPr>
            <w:r>
              <w:rPr>
                <w:b/>
                <w:bCs/>
                <w:color w:val="FF0000"/>
                <w:sz w:val="20"/>
                <w:szCs w:val="20"/>
                <w:shd w:val="clear" w:color="auto" w:fill="FFFFFF"/>
              </w:rPr>
              <w:t>10</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34</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1,8</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Piemonte</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8</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44</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3,3</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lastRenderedPageBreak/>
              <w:t>Puglia</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29</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2,5</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Sardegna</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8</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0</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28</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6,8</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Sicilia</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9</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0</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54</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1,1</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Toscana</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6</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0</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47</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1,9</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Umbria</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6</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11</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3,0</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Valle d’Aosta</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6</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0</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18</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48,2</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Veneto</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9</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3</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40</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1,1</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proofErr w:type="spellStart"/>
            <w:r>
              <w:rPr>
                <w:b/>
                <w:bCs/>
                <w:sz w:val="16"/>
                <w:szCs w:val="16"/>
                <w:lang w:eastAsia="en-US"/>
              </w:rPr>
              <w:t>Prov.Bolzano</w:t>
            </w:r>
            <w:proofErr w:type="spellEnd"/>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11</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5</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13</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31,1</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proofErr w:type="spellStart"/>
            <w:r>
              <w:rPr>
                <w:b/>
                <w:bCs/>
                <w:sz w:val="16"/>
                <w:szCs w:val="16"/>
                <w:lang w:eastAsia="en-US"/>
              </w:rPr>
              <w:t>Prov.Trento</w:t>
            </w:r>
            <w:proofErr w:type="spellEnd"/>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10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3</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7</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b/>
                <w:bCs/>
                <w:sz w:val="20"/>
                <w:szCs w:val="20"/>
                <w:shd w:val="clear" w:color="auto" w:fill="FFFFFF"/>
              </w:rPr>
            </w:pPr>
            <w:r>
              <w:rPr>
                <w:b/>
                <w:bCs/>
                <w:color w:val="FF0000"/>
                <w:sz w:val="20"/>
                <w:szCs w:val="20"/>
                <w:shd w:val="clear" w:color="auto" w:fill="FFFFFF"/>
              </w:rPr>
              <w:t>55,0</w:t>
            </w: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TOTALI</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221</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73</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sz w:val="20"/>
                <w:szCs w:val="20"/>
                <w:shd w:val="clear" w:color="auto" w:fill="FFFFFF"/>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8710F2" w:rsidRDefault="008710F2">
            <w:pPr>
              <w:spacing w:line="276" w:lineRule="auto"/>
              <w:jc w:val="right"/>
              <w:rPr>
                <w:sz w:val="20"/>
                <w:szCs w:val="20"/>
                <w:shd w:val="clear" w:color="auto" w:fill="FFFFFF"/>
              </w:rPr>
            </w:pPr>
          </w:p>
        </w:tc>
      </w:tr>
      <w:tr w:rsidR="008710F2" w:rsidTr="008710F2">
        <w:trPr>
          <w:jc w:val="center"/>
        </w:trPr>
        <w:tc>
          <w:tcPr>
            <w:tcW w:w="219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8710F2" w:rsidRDefault="008710F2">
            <w:pPr>
              <w:spacing w:line="276" w:lineRule="auto"/>
              <w:jc w:val="left"/>
              <w:rPr>
                <w:b/>
                <w:bCs/>
                <w:sz w:val="16"/>
                <w:szCs w:val="16"/>
                <w:lang w:eastAsia="en-US"/>
              </w:rPr>
            </w:pPr>
            <w:r>
              <w:rPr>
                <w:b/>
                <w:bCs/>
                <w:sz w:val="16"/>
                <w:szCs w:val="16"/>
                <w:lang w:eastAsia="en-US"/>
              </w:rPr>
              <w:t>Indice medio</w:t>
            </w:r>
          </w:p>
        </w:tc>
        <w:tc>
          <w:tcPr>
            <w:tcW w:w="1457"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proofErr w:type="spellStart"/>
            <w:r>
              <w:rPr>
                <w:sz w:val="12"/>
                <w:szCs w:val="12"/>
                <w:shd w:val="clear" w:color="auto" w:fill="FFFFFF"/>
              </w:rPr>
              <w:t>Consigl</w:t>
            </w:r>
            <w:proofErr w:type="spellEnd"/>
            <w:r>
              <w:rPr>
                <w:sz w:val="12"/>
                <w:szCs w:val="12"/>
                <w:shd w:val="clear" w:color="auto" w:fill="FFFFFF"/>
              </w:rPr>
              <w:t>. per Gruppo</w:t>
            </w:r>
            <w:r>
              <w:rPr>
                <w:shd w:val="clear" w:color="auto" w:fill="FFFFFF"/>
              </w:rPr>
              <w:t xml:space="preserve"> </w:t>
            </w:r>
            <w:r>
              <w:rPr>
                <w:sz w:val="20"/>
                <w:szCs w:val="20"/>
                <w:shd w:val="clear" w:color="auto" w:fill="FFFFFF"/>
              </w:rPr>
              <w:t xml:space="preserve">5,5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jc w:val="left"/>
              <w:rPr>
                <w:rFonts w:ascii="Times New Roman" w:eastAsia="Times New Roman" w:hAnsi="Times New Roman"/>
                <w:sz w:val="20"/>
                <w:szCs w:val="20"/>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41</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8710F2" w:rsidRDefault="008710F2">
            <w:pPr>
              <w:spacing w:line="276" w:lineRule="auto"/>
              <w:jc w:val="right"/>
              <w:rPr>
                <w:sz w:val="20"/>
                <w:szCs w:val="20"/>
                <w:shd w:val="clear" w:color="auto" w:fill="FFFFFF"/>
              </w:rPr>
            </w:pPr>
            <w:r>
              <w:rPr>
                <w:sz w:val="20"/>
                <w:szCs w:val="20"/>
                <w:shd w:val="clear" w:color="auto" w:fill="FFFFFF"/>
              </w:rPr>
              <w:t>9,5</w:t>
            </w:r>
          </w:p>
        </w:tc>
      </w:tr>
    </w:tbl>
    <w:p w:rsidR="008710F2" w:rsidRDefault="008710F2" w:rsidP="008710F2"/>
    <w:p w:rsidR="008710F2" w:rsidRDefault="008710F2" w:rsidP="008710F2">
      <w:pPr>
        <w:rPr>
          <w:sz w:val="16"/>
          <w:szCs w:val="16"/>
        </w:rPr>
      </w:pPr>
      <w:r>
        <w:rPr>
          <w:sz w:val="16"/>
          <w:szCs w:val="16"/>
        </w:rPr>
        <w:t xml:space="preserve">(*) Sono conteggiate solo le posizioni che danno diritto a indennità aggiuntive secondo le norme della Regione: Giunta, Uff. di Presidenza, presidenze e vicepresidenze di commissione, capigruppo, </w:t>
      </w:r>
    </w:p>
    <w:p w:rsidR="008710F2" w:rsidRDefault="008710F2" w:rsidP="008710F2"/>
    <w:p w:rsidR="008710F2" w:rsidRDefault="008710F2" w:rsidP="008710F2"/>
    <w:p w:rsidR="008710F2" w:rsidRDefault="008710F2" w:rsidP="008710F2">
      <w:r>
        <w:t>Altra nota dolente nella gestione delle regioni è la spesa per studi e consulenze, soluzione adottata dai partiti politici per far rientrare nella legge prebende e finanziamenti altrimenti sanzionabili per la maggior parte. Ancora una volta a farne le spese sono gli abitanti delle piccole entità: i Trentini si caricano di 55 euro l’anno per mantenere i consulenti a cui si rivolge l’amministrazione provinciale;  i Valdostani di 48,2 euro; gli abitanti della provincia di Bolzano di 31,1 euro.</w:t>
      </w:r>
    </w:p>
    <w:p w:rsidR="008710F2" w:rsidRDefault="008710F2" w:rsidP="008710F2">
      <w:r>
        <w:t>Mediamente ogni italiano paga 9,5 euro per studi e consulenze impostate dalle Regioni per un totale nazionale di oltre 566 milioni di euro.</w:t>
      </w:r>
    </w:p>
    <w:p w:rsidR="008710F2" w:rsidRDefault="008710F2" w:rsidP="008710F2">
      <w:pPr>
        <w:pStyle w:val="NormaleWeb"/>
        <w:shd w:val="clear" w:color="auto" w:fill="FFFFFF"/>
        <w:spacing w:before="0" w:beforeAutospacing="0" w:after="0" w:afterAutospacing="0" w:line="288" w:lineRule="atLeast"/>
        <w:textAlignment w:val="baseline"/>
      </w:pPr>
      <w:r>
        <w:t>A dimostrazione degli eccellenti trattamenti istituzionali della casta regionale, si ricorda, infine, che la sentenza del 16 luglio 2013 della Corte Costituzionale ha abolito le sanzioni previste dalla </w:t>
      </w:r>
      <w:proofErr w:type="spellStart"/>
      <w:r>
        <w:rPr>
          <w:i/>
          <w:iCs w:val="0"/>
        </w:rPr>
        <w:t>spending</w:t>
      </w:r>
      <w:proofErr w:type="spellEnd"/>
      <w:r>
        <w:rPr>
          <w:i/>
          <w:iCs w:val="0"/>
        </w:rPr>
        <w:t xml:space="preserve"> </w:t>
      </w:r>
      <w:proofErr w:type="spellStart"/>
      <w:r>
        <w:rPr>
          <w:i/>
          <w:iCs w:val="0"/>
        </w:rPr>
        <w:t>review</w:t>
      </w:r>
      <w:proofErr w:type="spellEnd"/>
      <w:r>
        <w:t xml:space="preserve"> per gli amministratori “</w:t>
      </w:r>
      <w:proofErr w:type="spellStart"/>
      <w:r>
        <w:t>manibucate</w:t>
      </w:r>
      <w:proofErr w:type="spellEnd"/>
      <w:r>
        <w:t>”, che andavano dalla cacciata del governatore, all’interdizione dello stesso da cariche istituzionali per 10 anni. Inutile ogni commento sui “costi della politica”.</w:t>
      </w:r>
    </w:p>
    <w:p w:rsidR="008710F2" w:rsidRDefault="008710F2" w:rsidP="008710F2">
      <w:pPr>
        <w:pStyle w:val="NormaleWeb"/>
        <w:shd w:val="clear" w:color="auto" w:fill="FFFFFF"/>
        <w:spacing w:before="0" w:beforeAutospacing="0" w:after="0" w:afterAutospacing="0" w:line="288" w:lineRule="atLeast"/>
        <w:textAlignment w:val="baseline"/>
      </w:pPr>
      <w:r>
        <w:t>__________________</w:t>
      </w:r>
    </w:p>
    <w:p w:rsidR="008710F2" w:rsidRDefault="008710F2" w:rsidP="008710F2">
      <w:r>
        <w:t>NOTA (1):</w:t>
      </w:r>
    </w:p>
    <w:p w:rsidR="008710F2" w:rsidRDefault="008710F2" w:rsidP="008710F2">
      <w:pPr>
        <w:rPr>
          <w:sz w:val="18"/>
          <w:szCs w:val="18"/>
        </w:rPr>
      </w:pPr>
      <w:r>
        <w:rPr>
          <w:sz w:val="18"/>
          <w:szCs w:val="18"/>
        </w:rPr>
        <w:t>I Consigli Regionali, per le regioni a statuto ordinario, sono composti da un minimo di 20 ad un massimo di 80 consiglieri, secondo quanto stabilito dai singoli statuti regionali.</w:t>
      </w:r>
    </w:p>
    <w:p w:rsidR="008710F2" w:rsidRDefault="008710F2" w:rsidP="008710F2">
      <w:pPr>
        <w:rPr>
          <w:sz w:val="18"/>
          <w:szCs w:val="18"/>
        </w:rPr>
      </w:pPr>
      <w:r>
        <w:rPr>
          <w:sz w:val="18"/>
          <w:szCs w:val="18"/>
        </w:rPr>
        <w:t xml:space="preserve">Il decreto legge approvato dal Governo il 12 agosto 2011 prevede che il numero massimo di consiglieri, escluso il presidente, dovrà essere uguale o inferiore a 20 per le Regioni con una popolazione fino a un milione di abitanti; uguale o inferiore a 30 per le Regioni con una popolazione fino a due milioni di abitanti; uguale o inferiore a 40 per le Regioni con una popolazione fino a quattro milioni di abitanti; uguale o inferiore a 50 per le Regioni con popolazione fino a sei milioni di abitanti; uguale o inferiore a 70 per le Regioni con una popolazione fino ad otto milioni di abitanti; uguale o inferiore a 80 per le Regioni con una popolazione superiore ad otto milioni di abitanti.[1] Ben più generosi sono invece i parametri imposti alle regioni autonome, che variano da un minimo di 35 consiglieri per la Valle d'Aosta, ossia uno ogni 4mila abitanti, ad un massimo di 90 per la Sicilia. In Basilicata con L'Art. 7, comma 10, Legge Regionale n. 35/2012, l'assise è stata ridotta a 20 membri (escluso il Presidente della Giunta) dalla </w:t>
      </w:r>
      <w:proofErr w:type="spellStart"/>
      <w:r>
        <w:rPr>
          <w:sz w:val="18"/>
          <w:szCs w:val="18"/>
        </w:rPr>
        <w:t>consiliatura</w:t>
      </w:r>
      <w:proofErr w:type="spellEnd"/>
      <w:r>
        <w:rPr>
          <w:sz w:val="18"/>
          <w:szCs w:val="18"/>
        </w:rPr>
        <w:t xml:space="preserve"> successiva all'approvazione del provvedimento.</w:t>
      </w:r>
    </w:p>
    <w:p w:rsidR="008710F2" w:rsidRDefault="008710F2" w:rsidP="008710F2">
      <w:pPr>
        <w:rPr>
          <w:sz w:val="18"/>
          <w:szCs w:val="18"/>
        </w:rPr>
      </w:pPr>
    </w:p>
    <w:p w:rsidR="008710F2" w:rsidRDefault="008710F2" w:rsidP="008710F2">
      <w:r>
        <w:t xml:space="preserve">   Mentre nel 2012 la pressione fiscale in Italia è al 44% sul </w:t>
      </w:r>
      <w:proofErr w:type="spellStart"/>
      <w:r>
        <w:t>Pil</w:t>
      </w:r>
      <w:proofErr w:type="spellEnd"/>
      <w:r>
        <w:t>, in crescita rispetto al 42,5% dell'anno precedente, al quarto posto assieme alla Finlandia (pure al 44%);</w:t>
      </w:r>
    </w:p>
    <w:p w:rsidR="008710F2" w:rsidRDefault="008710F2" w:rsidP="008710F2">
      <w:r>
        <w:t xml:space="preserve">il potere d'acquisto delle famiglie è crollato del 9,4% tra il 2008 e il 2012, come si legge nel bilancio sociale Inps, secondo il quale solo tra il 2011 e il 2012 il calo è stato del 4,9%, la spesa per gli ammortizzatori sociali nel 2012 è aumentata del 19% rispetto al 2011 superando quota 22,7 miliardi, con la spesa principale utilizzata per </w:t>
      </w:r>
      <w:r>
        <w:lastRenderedPageBreak/>
        <w:t xml:space="preserve">la disoccupazione con 13,811 miliardi, oltre due miliardi in più rispetto ai 11,684 miliardi spesi nel 2011,le caste regionali usano fondi pubblici perfino per acquistare “mutandoni verdi d’ordinanza” o per vacanze </w:t>
      </w:r>
      <w:proofErr w:type="spellStart"/>
      <w:r>
        <w:t>esotiche</w:t>
      </w:r>
      <w:proofErr w:type="spellEnd"/>
      <w:r>
        <w:t xml:space="preserve"> a spese dei contribuenti. </w:t>
      </w:r>
    </w:p>
    <w:p w:rsidR="008710F2" w:rsidRDefault="008710F2" w:rsidP="008710F2">
      <w:r>
        <w:t xml:space="preserve">    Mentre cresce il rischio di povertà ed esclusione sociale, con il 29,9% della popolazione italiana che diventa povera,  peggio solo la Grecia con il 34,6%;  con 18,2 milioni di italiani in condizioni di particolare sofferenza dovute alla povertà o alla mancanza di lavoro nel nostro Paese, contro i 15,9 della Germania (il 19,6%), gli 11,8 della Francia (il 19,1%), i 15,1 del Regno Unito (24,1%), i 13,1 della Spagna (il 28,2%), i 2,7 del Portogallo (il 25,3%), peggiore perfino della Spagna, che pure è in grave difficoltà economica con una disoccupazione molto alta e per trovare situazioni peggiori, dobbiamo uscire dai Paesi dell'Eurozona: in Romania risulta a rischio il 41,7% della popolazione, in Bulgaria il 49,3%, in Croazia il 32,3%; le idrovore politiche nazionali, provinciali e Regionali, hanno contribuito a dissestare i conti pubblici, utilizzando i capienti bancomat della spesa pubblica per acquisti privati. </w:t>
      </w:r>
    </w:p>
    <w:p w:rsidR="008710F2" w:rsidRDefault="008710F2" w:rsidP="008710F2">
      <w:r>
        <w:t>     Occorre un profondo rinnovamento della politica improntata ai valori di merito, onestà, competenza, trasparenza ed una revisione dei trattati europei, per far ritornare l’Italia a crescere e restituire ai giovani, privi di lavoro al 42%,la speranza.</w:t>
      </w:r>
    </w:p>
    <w:p w:rsidR="008710F2" w:rsidRDefault="008710F2" w:rsidP="008710F2"/>
    <w:p w:rsidR="008710F2" w:rsidRDefault="008710F2" w:rsidP="008710F2">
      <w:r>
        <w:t xml:space="preserve">                                        Elio Lannutti (Adusbef) – Rosario </w:t>
      </w:r>
      <w:proofErr w:type="spellStart"/>
      <w:r>
        <w:t>Trefiletti</w:t>
      </w:r>
      <w:proofErr w:type="spellEnd"/>
      <w:r>
        <w:t xml:space="preserve"> (Federconsumatori) </w:t>
      </w:r>
    </w:p>
    <w:p w:rsidR="008710F2" w:rsidRDefault="008710F2" w:rsidP="008710F2"/>
    <w:p w:rsidR="008710F2" w:rsidRDefault="008710F2" w:rsidP="008710F2">
      <w:r>
        <w:t>Roma,7 dicembre 2013</w:t>
      </w:r>
    </w:p>
    <w:p w:rsidR="00C200C3" w:rsidRDefault="00C200C3"/>
    <w:p w:rsidR="00980DE9" w:rsidRDefault="00980DE9"/>
    <w:p w:rsidR="00980DE9" w:rsidRDefault="00980DE9"/>
    <w:p w:rsidR="00980DE9" w:rsidRDefault="00980DE9">
      <w:r>
        <w:pict>
          <v:rect id="_x0000_i1025" style="width:0;height:1.5pt" o:hralign="center" o:hrstd="t" o:hr="t" fillcolor="#a0a0a0" stroked="f"/>
        </w:pict>
      </w:r>
    </w:p>
    <w:p w:rsidR="00980DE9" w:rsidRDefault="00980DE9"/>
    <w:p w:rsidR="00980DE9" w:rsidRDefault="00980DE9">
      <w:r>
        <w:t xml:space="preserve">Vai allo studio integrale: </w:t>
      </w:r>
    </w:p>
    <w:p w:rsidR="00980DE9" w:rsidRPr="00980DE9" w:rsidRDefault="00980DE9" w:rsidP="00980DE9">
      <w:pPr>
        <w:keepNext/>
        <w:spacing w:line="320" w:lineRule="atLeast"/>
        <w:ind w:left="23" w:right="238"/>
        <w:outlineLvl w:val="2"/>
        <w:rPr>
          <w:rFonts w:eastAsia="Times New Roman"/>
          <w:b/>
          <w:bCs/>
          <w:color w:val="0F243E"/>
          <w:sz w:val="28"/>
          <w:szCs w:val="28"/>
        </w:rPr>
      </w:pPr>
      <w:hyperlink r:id="rId7" w:history="1">
        <w:r w:rsidRPr="00980DE9">
          <w:rPr>
            <w:rFonts w:eastAsia="Times New Roman"/>
            <w:i/>
            <w:iCs/>
            <w:color w:val="800080"/>
            <w:sz w:val="22"/>
            <w:szCs w:val="22"/>
            <w:u w:val="single"/>
          </w:rPr>
          <w:t xml:space="preserve">6-12-2013 Il PuntO n°  281. </w:t>
        </w:r>
        <w:bookmarkStart w:id="0" w:name="_GoBack"/>
        <w:r w:rsidRPr="00980DE9">
          <w:rPr>
            <w:rFonts w:eastAsia="Times New Roman"/>
            <w:i/>
            <w:iCs/>
            <w:color w:val="800080"/>
            <w:sz w:val="22"/>
            <w:szCs w:val="22"/>
            <w:u w:val="single"/>
          </w:rPr>
          <w:t>Spese</w:t>
        </w:r>
        <w:bookmarkEnd w:id="0"/>
        <w:r w:rsidRPr="00980DE9">
          <w:rPr>
            <w:rFonts w:eastAsia="Times New Roman"/>
            <w:i/>
            <w:iCs/>
            <w:color w:val="800080"/>
            <w:sz w:val="22"/>
            <w:szCs w:val="22"/>
            <w:u w:val="single"/>
          </w:rPr>
          <w:t xml:space="preserve"> delle Regioni e costi della casta regionale. Rivediamo queste uscite, prima di pensare alle province!</w:t>
        </w:r>
      </w:hyperlink>
    </w:p>
    <w:p w:rsidR="00980DE9" w:rsidRDefault="00980DE9"/>
    <w:p w:rsidR="00980DE9" w:rsidRDefault="00980DE9">
      <w:r>
        <w:pict>
          <v:rect id="_x0000_i1026" style="width:0;height:1.5pt" o:hralign="center" o:hrstd="t" o:hr="t" fillcolor="#a0a0a0" stroked="f"/>
        </w:pict>
      </w:r>
    </w:p>
    <w:p w:rsidR="00980DE9" w:rsidRDefault="00980DE9"/>
    <w:sectPr w:rsidR="00980DE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0F2"/>
    <w:rsid w:val="00130235"/>
    <w:rsid w:val="001A3C40"/>
    <w:rsid w:val="002E4C34"/>
    <w:rsid w:val="00370059"/>
    <w:rsid w:val="00424BEE"/>
    <w:rsid w:val="004F322C"/>
    <w:rsid w:val="005F3BF0"/>
    <w:rsid w:val="00632BCB"/>
    <w:rsid w:val="007339EC"/>
    <w:rsid w:val="00754201"/>
    <w:rsid w:val="008710F2"/>
    <w:rsid w:val="00873879"/>
    <w:rsid w:val="0094402A"/>
    <w:rsid w:val="00980DE9"/>
    <w:rsid w:val="009B4EA1"/>
    <w:rsid w:val="00A42182"/>
    <w:rsid w:val="00B35AE5"/>
    <w:rsid w:val="00B90F78"/>
    <w:rsid w:val="00C200C3"/>
    <w:rsid w:val="00C55771"/>
    <w:rsid w:val="00C76E1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710F2"/>
    <w:pPr>
      <w:spacing w:line="240" w:lineRule="auto"/>
      <w:ind w:left="0" w:right="0"/>
    </w:pPr>
    <w:rPr>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 w:type="character" w:customStyle="1" w:styleId="apple-converted-space">
    <w:name w:val="apple-converted-space"/>
    <w:basedOn w:val="Carpredefinitoparagrafo"/>
    <w:rsid w:val="00980D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710F2"/>
    <w:pPr>
      <w:spacing w:line="240" w:lineRule="auto"/>
      <w:ind w:left="0" w:right="0"/>
    </w:pPr>
    <w:rPr>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 w:type="character" w:customStyle="1" w:styleId="apple-converted-space">
    <w:name w:val="apple-converted-space"/>
    <w:basedOn w:val="Carpredefinitoparagrafo"/>
    <w:rsid w:val="00980D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435143">
      <w:bodyDiv w:val="1"/>
      <w:marLeft w:val="0"/>
      <w:marRight w:val="0"/>
      <w:marTop w:val="0"/>
      <w:marBottom w:val="0"/>
      <w:divBdr>
        <w:top w:val="none" w:sz="0" w:space="0" w:color="auto"/>
        <w:left w:val="none" w:sz="0" w:space="0" w:color="auto"/>
        <w:bottom w:val="none" w:sz="0" w:space="0" w:color="auto"/>
        <w:right w:val="none" w:sz="0" w:space="0" w:color="auto"/>
      </w:divBdr>
    </w:div>
    <w:div w:id="166442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mauronovelli.it/PuntO%20n%C2%B0%20281%20La%20casta%20delle%20regioni%206-12-2013.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86BF8-367C-4A1A-B02C-A0B9A44F3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1824</Words>
  <Characters>10402</Characters>
  <Application>Microsoft Office Word</Application>
  <DocSecurity>0</DocSecurity>
  <Lines>86</Lines>
  <Paragraphs>24</Paragraphs>
  <ScaleCrop>false</ScaleCrop>
  <Company/>
  <LinksUpToDate>false</LinksUpToDate>
  <CharactersWithSpaces>12202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dcterms:created xsi:type="dcterms:W3CDTF">2013-12-07T09:33:00Z</dcterms:created>
  <dcterms:modified xsi:type="dcterms:W3CDTF">2013-12-07T09:44:00Z</dcterms:modified>
</cp:coreProperties>
</file>