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059" w:rsidRDefault="00967059" w:rsidP="00967059">
      <w:pPr>
        <w:jc w:val="center"/>
        <w:rPr>
          <w:rFonts w:ascii="Times New Roman" w:hAnsi="Times New Roman"/>
          <w:b/>
          <w:bCs/>
          <w:sz w:val="24"/>
          <w:szCs w:val="24"/>
          <w:lang w:eastAsia="it-IT"/>
        </w:rPr>
      </w:pPr>
      <w:r>
        <w:rPr>
          <w:rFonts w:ascii="Times New Roman" w:hAnsi="Times New Roman"/>
          <w:b/>
          <w:bCs/>
          <w:sz w:val="24"/>
          <w:szCs w:val="24"/>
          <w:lang w:eastAsia="it-IT"/>
        </w:rPr>
        <w:t>COMUNICATO STAMPA</w:t>
      </w:r>
    </w:p>
    <w:p w:rsidR="00967059" w:rsidRDefault="00967059" w:rsidP="00967059">
      <w:pPr>
        <w:rPr>
          <w:rFonts w:ascii="Times New Roman" w:hAnsi="Times New Roman"/>
          <w:b/>
          <w:bCs/>
          <w:sz w:val="24"/>
          <w:szCs w:val="24"/>
          <w:lang w:eastAsia="it-IT"/>
        </w:rPr>
      </w:pPr>
    </w:p>
    <w:p w:rsidR="00967059" w:rsidRDefault="00967059" w:rsidP="00967059">
      <w:pPr>
        <w:jc w:val="center"/>
        <w:rPr>
          <w:rFonts w:ascii="Times New Roman" w:hAnsi="Times New Roman"/>
          <w:b/>
          <w:bCs/>
          <w:sz w:val="23"/>
          <w:szCs w:val="23"/>
          <w:lang w:eastAsia="it-IT"/>
        </w:rPr>
      </w:pPr>
      <w:r>
        <w:rPr>
          <w:rFonts w:ascii="Times New Roman" w:hAnsi="Times New Roman"/>
          <w:b/>
          <w:bCs/>
          <w:sz w:val="23"/>
          <w:szCs w:val="23"/>
          <w:lang w:eastAsia="it-IT"/>
        </w:rPr>
        <w:t>BANCHE: SOFFERENZE LORDE AUMENTATE DI 27 MLD DI EURO IN 12 MESI (+22,8 %) CON UN GRAVAME DI 900 EURO A CARICO DI OGNUNO DEI 30 MILIONI DI CORRENTISTI,NON SOLO PER LA CRISI, MA SOPRATTUTTO PER CREDITI CLIENTELARI EROGATI DAI BANCHIERI AD AMICI, COMPARI E COMPAGNI MERENDE. IL CODICE PENALE PUNISCE GLI INCAUTI AFFIDAMENTI: PERCHE’ BANKITALIA NON LI DENUNCIA,COME FACCIAMO NOI,ALL’AUTORITA’ GIUDIZIARIA?</w:t>
      </w:r>
    </w:p>
    <w:p w:rsidR="00967059" w:rsidRDefault="00967059" w:rsidP="00967059">
      <w:pPr>
        <w:rPr>
          <w:rFonts w:ascii="Times New Roman" w:hAnsi="Times New Roman"/>
          <w:sz w:val="24"/>
          <w:szCs w:val="24"/>
          <w:lang w:eastAsia="it-IT"/>
        </w:rPr>
      </w:pPr>
    </w:p>
    <w:p w:rsidR="00967059" w:rsidRDefault="00967059" w:rsidP="00967059">
      <w:pPr>
        <w:jc w:val="both"/>
        <w:rPr>
          <w:rFonts w:ascii="Times New Roman" w:hAnsi="Times New Roman"/>
          <w:sz w:val="24"/>
          <w:szCs w:val="24"/>
          <w:lang w:eastAsia="it-IT"/>
        </w:rPr>
      </w:pPr>
      <w:r>
        <w:rPr>
          <w:rFonts w:ascii="Times New Roman" w:hAnsi="Times New Roman"/>
          <w:sz w:val="24"/>
          <w:szCs w:val="24"/>
          <w:lang w:eastAsia="it-IT"/>
        </w:rPr>
        <w:t xml:space="preserve">   Nei giorni scorsi, Banca Intesa, è stata costretta ad accantonare in bilancio ben 440 milioni di euro a garanzia dei crediti allegri privi di garanzie reali erogati all'amico dei banchieri Roman </w:t>
      </w:r>
      <w:proofErr w:type="spellStart"/>
      <w:r>
        <w:rPr>
          <w:rFonts w:ascii="Times New Roman" w:hAnsi="Times New Roman"/>
          <w:sz w:val="24"/>
          <w:szCs w:val="24"/>
          <w:lang w:eastAsia="it-IT"/>
        </w:rPr>
        <w:t>Zalesky</w:t>
      </w:r>
      <w:proofErr w:type="spellEnd"/>
      <w:r>
        <w:rPr>
          <w:rFonts w:ascii="Times New Roman" w:hAnsi="Times New Roman"/>
          <w:sz w:val="24"/>
          <w:szCs w:val="24"/>
          <w:lang w:eastAsia="it-IT"/>
        </w:rPr>
        <w:t xml:space="preserve">, al contrario di garanzie tangibili e fideiussioni di terzi pari a 4/5 volte il prestito accordato, pretesi dalle banche a piccoli imprenditori e famiglie per fidi modesti di 20/30.000 euro. Non si conoscono quanti siano stati gli accantonamenti analoghi al ‘sistema </w:t>
      </w:r>
      <w:proofErr w:type="spellStart"/>
      <w:r>
        <w:rPr>
          <w:rFonts w:ascii="Times New Roman" w:hAnsi="Times New Roman"/>
          <w:sz w:val="24"/>
          <w:szCs w:val="24"/>
          <w:lang w:eastAsia="it-IT"/>
        </w:rPr>
        <w:t>Zalesky</w:t>
      </w:r>
      <w:proofErr w:type="spellEnd"/>
      <w:r>
        <w:rPr>
          <w:rFonts w:ascii="Times New Roman" w:hAnsi="Times New Roman"/>
          <w:sz w:val="24"/>
          <w:szCs w:val="24"/>
          <w:lang w:eastAsia="it-IT"/>
        </w:rPr>
        <w:t>’, effettuati dalle altre banche.</w:t>
      </w:r>
    </w:p>
    <w:p w:rsidR="00967059" w:rsidRDefault="00967059" w:rsidP="00967059">
      <w:pPr>
        <w:jc w:val="both"/>
        <w:rPr>
          <w:rFonts w:ascii="Times New Roman" w:hAnsi="Times New Roman"/>
          <w:sz w:val="24"/>
          <w:szCs w:val="24"/>
          <w:lang w:eastAsia="it-IT"/>
        </w:rPr>
      </w:pPr>
      <w:r>
        <w:rPr>
          <w:rFonts w:ascii="Times New Roman" w:hAnsi="Times New Roman"/>
          <w:sz w:val="24"/>
          <w:szCs w:val="24"/>
          <w:lang w:eastAsia="it-IT"/>
        </w:rPr>
        <w:t xml:space="preserve">    Tale dissennata e clientelare politica creditizia, che favorisce i soliti amici e compagni di merende di alcuni noti banchieri, quali </w:t>
      </w:r>
      <w:proofErr w:type="spellStart"/>
      <w:r>
        <w:rPr>
          <w:rFonts w:ascii="Times New Roman" w:hAnsi="Times New Roman"/>
          <w:sz w:val="24"/>
          <w:szCs w:val="24"/>
          <w:lang w:eastAsia="it-IT"/>
        </w:rPr>
        <w:t>Zalesky</w:t>
      </w:r>
      <w:proofErr w:type="spellEnd"/>
      <w:r>
        <w:rPr>
          <w:rFonts w:ascii="Times New Roman" w:hAnsi="Times New Roman"/>
          <w:sz w:val="24"/>
          <w:szCs w:val="24"/>
          <w:lang w:eastAsia="it-IT"/>
        </w:rPr>
        <w:t xml:space="preserve">, Zunino, </w:t>
      </w:r>
      <w:proofErr w:type="spellStart"/>
      <w:r>
        <w:rPr>
          <w:rFonts w:ascii="Times New Roman" w:hAnsi="Times New Roman"/>
          <w:sz w:val="24"/>
          <w:szCs w:val="24"/>
          <w:lang w:eastAsia="it-IT"/>
        </w:rPr>
        <w:t>Ligresti,ecc</w:t>
      </w:r>
      <w:proofErr w:type="spellEnd"/>
      <w:r>
        <w:rPr>
          <w:rFonts w:ascii="Times New Roman" w:hAnsi="Times New Roman"/>
          <w:sz w:val="24"/>
          <w:szCs w:val="24"/>
          <w:lang w:eastAsia="it-IT"/>
        </w:rPr>
        <w:t>, ha portato ad una impennata delle sofferenze bancarie lorde, arrivate a 144,25 miliardi di euro a settembre 2013, con un aumento del 22,8% rispetto all'anno prima, quando le sofferenze erano attestate a 117,6 miliardi, è costata almeno 900 euro per ognuno dei 30 milioni di correntisti. </w:t>
      </w:r>
    </w:p>
    <w:p w:rsidR="00967059" w:rsidRDefault="00967059" w:rsidP="00967059">
      <w:pPr>
        <w:jc w:val="both"/>
        <w:rPr>
          <w:rFonts w:ascii="Times New Roman" w:hAnsi="Times New Roman"/>
          <w:sz w:val="24"/>
          <w:szCs w:val="24"/>
          <w:lang w:eastAsia="it-IT"/>
        </w:rPr>
      </w:pPr>
      <w:r>
        <w:rPr>
          <w:rFonts w:ascii="Times New Roman" w:hAnsi="Times New Roman"/>
          <w:sz w:val="24"/>
          <w:szCs w:val="24"/>
          <w:lang w:eastAsia="it-IT"/>
        </w:rPr>
        <w:t xml:space="preserve">   Ancora più pesanti le sofferenze nette aumentate in un anno del  28,3 per cento, individuate dalla Banca  d’Italia  come  “sofferenze  al  valore  di  realizzo (nette)” ed al netto delle svalutazioni contabilizzate, sottraendo alle lorde i fondi rettificativi su esposizioni per cassa, che includono sia i fondi che assolvono la funzione di rettificare i valori dei finanziamenti, sia il loro ammontare, sulle quali Governo e Parlamento si accingono ad approvare l’ennesimo “aiutino” richiesto </w:t>
      </w:r>
      <w:proofErr w:type="spellStart"/>
      <w:r>
        <w:rPr>
          <w:rFonts w:ascii="Times New Roman" w:hAnsi="Times New Roman"/>
          <w:sz w:val="24"/>
          <w:szCs w:val="24"/>
          <w:lang w:eastAsia="it-IT"/>
        </w:rPr>
        <w:t>dall’Abi</w:t>
      </w:r>
      <w:proofErr w:type="spellEnd"/>
      <w:r>
        <w:rPr>
          <w:rFonts w:ascii="Times New Roman" w:hAnsi="Times New Roman"/>
          <w:sz w:val="24"/>
          <w:szCs w:val="24"/>
          <w:lang w:eastAsia="it-IT"/>
        </w:rPr>
        <w:t xml:space="preserve"> ed  inserito nella legge di stabilità, che graverà per circa 20 miliardi di euro in 7 anni sulla collettività.     </w:t>
      </w:r>
    </w:p>
    <w:p w:rsidR="00967059" w:rsidRDefault="00967059" w:rsidP="00967059">
      <w:pPr>
        <w:jc w:val="both"/>
        <w:rPr>
          <w:rFonts w:ascii="Times New Roman" w:hAnsi="Times New Roman"/>
          <w:sz w:val="24"/>
          <w:szCs w:val="24"/>
          <w:lang w:eastAsia="it-IT"/>
        </w:rPr>
      </w:pPr>
      <w:r>
        <w:rPr>
          <w:rFonts w:ascii="Times New Roman" w:hAnsi="Times New Roman"/>
          <w:sz w:val="24"/>
          <w:szCs w:val="24"/>
          <w:lang w:eastAsia="it-IT"/>
        </w:rPr>
        <w:t>   Poiché il codice penale punisce gli incauti affidamenti effettuati dai banchieri, la Banca d'Italia, che ha gli strumenti necessari per giudicarli, avrebbe il dovere di segnalarli all'Autorità Giudiziaria, per stroncare prassi e criteri “amicali” che hanno prodotto perdite consistenti spalmati sulla clientela chiamata a pagare il conto finale con alti tassi, elevate commissioni e costi proibitivi per gestire un conto corrente pari a 347 euro l’anno in Italia contro 114 della media Ue, per far restituire la delicata gestione del credito e del risparmio a quei criteri prudenziali, pur previsti dalle Circolari di Bankitalia, che impone fidi e prestiti ai più meritevoli, invece che alle solite cricche di amici e compagni di merende dei banchieri.</w:t>
      </w:r>
    </w:p>
    <w:p w:rsidR="00967059" w:rsidRDefault="00967059" w:rsidP="00967059">
      <w:pPr>
        <w:jc w:val="center"/>
        <w:rPr>
          <w:rFonts w:ascii="Times New Roman" w:hAnsi="Times New Roman"/>
          <w:b/>
          <w:bCs/>
          <w:sz w:val="24"/>
          <w:szCs w:val="24"/>
          <w:lang w:eastAsia="it-IT"/>
        </w:rPr>
      </w:pPr>
    </w:p>
    <w:p w:rsidR="00967059" w:rsidRDefault="00967059" w:rsidP="00967059">
      <w:pPr>
        <w:jc w:val="center"/>
        <w:rPr>
          <w:rFonts w:ascii="Times New Roman" w:hAnsi="Times New Roman"/>
          <w:sz w:val="24"/>
          <w:szCs w:val="24"/>
          <w:lang w:eastAsia="it-IT"/>
        </w:rPr>
      </w:pPr>
      <w:r>
        <w:rPr>
          <w:rFonts w:ascii="Times New Roman" w:hAnsi="Times New Roman"/>
          <w:b/>
          <w:bCs/>
          <w:sz w:val="24"/>
          <w:szCs w:val="24"/>
          <w:lang w:eastAsia="it-IT"/>
        </w:rPr>
        <w:t>SOFFERENZE BANCARIE (IN MILIARDI DI EURO)</w:t>
      </w:r>
    </w:p>
    <w:p w:rsidR="00967059" w:rsidRDefault="00967059" w:rsidP="00967059">
      <w:pPr>
        <w:jc w:val="center"/>
        <w:rPr>
          <w:rFonts w:ascii="Times New Roman" w:hAnsi="Times New Roman"/>
          <w:sz w:val="24"/>
          <w:szCs w:val="24"/>
          <w:lang w:eastAsia="it-IT"/>
        </w:rPr>
      </w:pPr>
      <w:r>
        <w:rPr>
          <w:rFonts w:ascii="Times New Roman" w:hAnsi="Times New Roman"/>
          <w:sz w:val="24"/>
          <w:szCs w:val="24"/>
          <w:lang w:eastAsia="it-IT"/>
        </w:rPr>
        <w:t>Fonte Bankitalia: </w:t>
      </w:r>
      <w:proofErr w:type="spellStart"/>
      <w:r>
        <w:rPr>
          <w:rFonts w:ascii="Times New Roman" w:hAnsi="Times New Roman"/>
          <w:sz w:val="24"/>
          <w:szCs w:val="24"/>
          <w:lang w:eastAsia="it-IT"/>
        </w:rPr>
        <w:t>Suppl</w:t>
      </w:r>
      <w:proofErr w:type="spellEnd"/>
      <w:r>
        <w:rPr>
          <w:rFonts w:ascii="Times New Roman" w:hAnsi="Times New Roman"/>
          <w:sz w:val="24"/>
          <w:szCs w:val="24"/>
          <w:lang w:eastAsia="it-IT"/>
        </w:rPr>
        <w:t xml:space="preserve">. </w:t>
      </w:r>
      <w:hyperlink r:id="rId6" w:history="1">
        <w:r>
          <w:rPr>
            <w:rStyle w:val="Collegamentoipertestuale"/>
            <w:rFonts w:ascii="Times New Roman" w:hAnsi="Times New Roman"/>
            <w:sz w:val="24"/>
            <w:szCs w:val="24"/>
            <w:lang w:eastAsia="it-IT"/>
          </w:rPr>
          <w:t>Boll.no</w:t>
        </w:r>
      </w:hyperlink>
      <w:r>
        <w:rPr>
          <w:rFonts w:ascii="Times New Roman" w:hAnsi="Times New Roman"/>
          <w:sz w:val="24"/>
          <w:szCs w:val="24"/>
          <w:lang w:eastAsia="it-IT"/>
        </w:rPr>
        <w:t xml:space="preserve"> Statistico “Moneta e banche” n° 58 dell’ 11-11-2013. Tra parentesi le “Sofferenze nette”. In miliardi di euro. Elaborazioni dr. </w:t>
      </w:r>
      <w:proofErr w:type="spellStart"/>
      <w:r>
        <w:rPr>
          <w:rFonts w:ascii="Times New Roman" w:hAnsi="Times New Roman"/>
          <w:sz w:val="24"/>
          <w:szCs w:val="24"/>
          <w:lang w:eastAsia="it-IT"/>
        </w:rPr>
        <w:t>M.Novelli</w:t>
      </w:r>
      <w:proofErr w:type="spellEnd"/>
      <w:r>
        <w:rPr>
          <w:rFonts w:ascii="Times New Roman" w:hAnsi="Times New Roman"/>
          <w:sz w:val="24"/>
          <w:szCs w:val="24"/>
          <w:lang w:eastAsia="it-IT"/>
        </w:rPr>
        <w:t xml:space="preserve"> Adusbef (Aggiornamento del 13-11-2013)</w:t>
      </w:r>
    </w:p>
    <w:p w:rsidR="00967059" w:rsidRDefault="00967059" w:rsidP="00967059">
      <w:pPr>
        <w:rPr>
          <w:rFonts w:ascii="Times New Roman" w:hAnsi="Times New Roman"/>
          <w:sz w:val="24"/>
          <w:szCs w:val="24"/>
          <w:lang w:eastAsia="it-IT"/>
        </w:rPr>
      </w:pPr>
      <w:r>
        <w:rPr>
          <w:rFonts w:ascii="Times New Roman" w:hAnsi="Times New Roman"/>
          <w:sz w:val="24"/>
          <w:szCs w:val="24"/>
          <w:lang w:eastAsia="it-IT"/>
        </w:rPr>
        <w:t> </w:t>
      </w:r>
    </w:p>
    <w:tbl>
      <w:tblPr>
        <w:tblW w:w="0" w:type="auto"/>
        <w:tblCellMar>
          <w:left w:w="0" w:type="dxa"/>
          <w:right w:w="0" w:type="dxa"/>
        </w:tblCellMar>
        <w:tblLook w:val="04A0" w:firstRow="1" w:lastRow="0" w:firstColumn="1" w:lastColumn="0" w:noHBand="0" w:noVBand="1"/>
      </w:tblPr>
      <w:tblGrid>
        <w:gridCol w:w="2565"/>
        <w:gridCol w:w="1623"/>
        <w:gridCol w:w="1623"/>
        <w:gridCol w:w="1525"/>
        <w:gridCol w:w="850"/>
        <w:gridCol w:w="1482"/>
      </w:tblGrid>
      <w:tr w:rsidR="00967059" w:rsidTr="00967059">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967059" w:rsidRDefault="00967059">
            <w:pPr>
              <w:spacing w:after="60" w:line="276" w:lineRule="auto"/>
              <w:jc w:val="both"/>
              <w:rPr>
                <w:rFonts w:ascii="Times" w:hAnsi="Times" w:cs="Times"/>
                <w:sz w:val="24"/>
                <w:szCs w:val="24"/>
              </w:rPr>
            </w:pPr>
            <w:r>
              <w:rPr>
                <w:rFonts w:ascii="UICTFontTextStyleBody" w:hAnsi="UICTFontTextStyleBody"/>
                <w:sz w:val="24"/>
                <w:szCs w:val="24"/>
              </w:rPr>
              <w:t> </w:t>
            </w:r>
          </w:p>
        </w:tc>
        <w:tc>
          <w:tcPr>
            <w:tcW w:w="0" w:type="auto"/>
            <w:gridSpan w:val="3"/>
            <w:tcBorders>
              <w:top w:val="single" w:sz="8" w:space="0" w:color="000000"/>
              <w:left w:val="nil"/>
              <w:bottom w:val="single" w:sz="8" w:space="0" w:color="000000"/>
              <w:right w:val="single" w:sz="8" w:space="0" w:color="000000"/>
            </w:tcBorders>
            <w:shd w:val="clear" w:color="auto" w:fill="4F6228"/>
            <w:tcMar>
              <w:top w:w="15" w:type="dxa"/>
              <w:left w:w="15" w:type="dxa"/>
              <w:bottom w:w="15" w:type="dxa"/>
              <w:right w:w="15" w:type="dxa"/>
            </w:tcMar>
            <w:hideMark/>
          </w:tcPr>
          <w:p w:rsidR="00967059" w:rsidRDefault="00967059">
            <w:pPr>
              <w:spacing w:after="60" w:line="276" w:lineRule="auto"/>
              <w:jc w:val="center"/>
              <w:rPr>
                <w:rFonts w:ascii="Times" w:hAnsi="Times" w:cs="Times"/>
                <w:sz w:val="24"/>
                <w:szCs w:val="24"/>
              </w:rPr>
            </w:pPr>
            <w:r>
              <w:rPr>
                <w:rFonts w:ascii="UICTFontTextStyleBody" w:hAnsi="UICTFontTextStyleBody"/>
                <w:b/>
                <w:bCs/>
                <w:sz w:val="24"/>
                <w:szCs w:val="24"/>
              </w:rPr>
              <w:t>Su base annua</w:t>
            </w:r>
          </w:p>
        </w:tc>
        <w:tc>
          <w:tcPr>
            <w:tcW w:w="0" w:type="auto"/>
            <w:gridSpan w:val="2"/>
            <w:tcBorders>
              <w:top w:val="single" w:sz="8" w:space="0" w:color="000000"/>
              <w:left w:val="nil"/>
              <w:bottom w:val="single" w:sz="8" w:space="0" w:color="000000"/>
              <w:right w:val="single" w:sz="8" w:space="0" w:color="000000"/>
            </w:tcBorders>
            <w:shd w:val="clear" w:color="auto" w:fill="4F6228"/>
            <w:tcMar>
              <w:top w:w="15" w:type="dxa"/>
              <w:left w:w="15" w:type="dxa"/>
              <w:bottom w:w="15" w:type="dxa"/>
              <w:right w:w="15" w:type="dxa"/>
            </w:tcMar>
            <w:hideMark/>
          </w:tcPr>
          <w:p w:rsidR="00967059" w:rsidRDefault="00967059">
            <w:pPr>
              <w:spacing w:after="60" w:line="276" w:lineRule="auto"/>
              <w:jc w:val="center"/>
              <w:rPr>
                <w:rFonts w:ascii="Times" w:hAnsi="Times" w:cs="Times"/>
                <w:sz w:val="24"/>
                <w:szCs w:val="24"/>
              </w:rPr>
            </w:pPr>
            <w:r>
              <w:rPr>
                <w:rFonts w:ascii="UICTFontTextStyleBody" w:hAnsi="UICTFontTextStyleBody"/>
                <w:b/>
                <w:bCs/>
                <w:sz w:val="24"/>
                <w:szCs w:val="24"/>
              </w:rPr>
              <w:t>Congiunturale</w:t>
            </w:r>
          </w:p>
        </w:tc>
      </w:tr>
      <w:tr w:rsidR="00967059" w:rsidTr="00967059">
        <w:tc>
          <w:tcPr>
            <w:tcW w:w="0" w:type="auto"/>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c>
          <w:tcPr>
            <w:tcW w:w="0" w:type="auto"/>
            <w:tcBorders>
              <w:top w:val="nil"/>
              <w:left w:val="nil"/>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after="60" w:line="276" w:lineRule="auto"/>
              <w:jc w:val="center"/>
              <w:rPr>
                <w:rFonts w:ascii="Times" w:hAnsi="Times" w:cs="Times"/>
                <w:sz w:val="24"/>
                <w:szCs w:val="24"/>
              </w:rPr>
            </w:pPr>
            <w:r>
              <w:rPr>
                <w:rFonts w:ascii="UICTFontTextStyleBody" w:hAnsi="UICTFontTextStyleBody"/>
                <w:b/>
                <w:bCs/>
                <w:sz w:val="24"/>
                <w:szCs w:val="24"/>
              </w:rPr>
              <w:t>Settembre 2012</w:t>
            </w:r>
          </w:p>
        </w:tc>
        <w:tc>
          <w:tcPr>
            <w:tcW w:w="0" w:type="auto"/>
            <w:tcBorders>
              <w:top w:val="nil"/>
              <w:left w:val="nil"/>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after="60" w:line="276" w:lineRule="auto"/>
              <w:jc w:val="center"/>
              <w:rPr>
                <w:rFonts w:ascii="Times" w:hAnsi="Times" w:cs="Times"/>
                <w:sz w:val="24"/>
                <w:szCs w:val="24"/>
              </w:rPr>
            </w:pPr>
            <w:r>
              <w:rPr>
                <w:rFonts w:ascii="UICTFontTextStyleBody" w:hAnsi="UICTFontTextStyleBody"/>
                <w:b/>
                <w:bCs/>
                <w:sz w:val="24"/>
                <w:szCs w:val="24"/>
              </w:rPr>
              <w:t>Settembre 2013</w:t>
            </w:r>
          </w:p>
        </w:tc>
        <w:tc>
          <w:tcPr>
            <w:tcW w:w="0" w:type="auto"/>
            <w:tcBorders>
              <w:top w:val="nil"/>
              <w:left w:val="nil"/>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after="60" w:line="276" w:lineRule="auto"/>
              <w:jc w:val="center"/>
              <w:rPr>
                <w:rFonts w:ascii="Times" w:hAnsi="Times" w:cs="Times"/>
                <w:sz w:val="24"/>
                <w:szCs w:val="24"/>
              </w:rPr>
            </w:pPr>
            <w:proofErr w:type="spellStart"/>
            <w:r>
              <w:rPr>
                <w:rFonts w:ascii="UICTFontTextStyleBody" w:hAnsi="UICTFontTextStyleBody"/>
                <w:b/>
                <w:bCs/>
                <w:sz w:val="24"/>
                <w:szCs w:val="24"/>
              </w:rPr>
              <w:t>Variaz</w:t>
            </w:r>
            <w:proofErr w:type="spellEnd"/>
            <w:r>
              <w:rPr>
                <w:rFonts w:ascii="UICTFontTextStyleBody" w:hAnsi="UICTFontTextStyleBody"/>
                <w:b/>
                <w:bCs/>
                <w:sz w:val="24"/>
                <w:szCs w:val="24"/>
              </w:rPr>
              <w:t>,  %</w:t>
            </w:r>
          </w:p>
          <w:p w:rsidR="00967059" w:rsidRDefault="00967059">
            <w:pPr>
              <w:spacing w:after="60" w:line="276" w:lineRule="auto"/>
              <w:jc w:val="center"/>
              <w:rPr>
                <w:rFonts w:ascii="Times" w:hAnsi="Times" w:cs="Times"/>
                <w:sz w:val="24"/>
                <w:szCs w:val="24"/>
              </w:rPr>
            </w:pPr>
            <w:hyperlink r:id="rId7" w:history="1">
              <w:r>
                <w:rPr>
                  <w:rStyle w:val="Collegamentoipertestuale"/>
                  <w:rFonts w:ascii="UICTFontTextStyleBody" w:hAnsi="UICTFontTextStyleBody" w:cs="Times"/>
                  <w:b/>
                  <w:bCs/>
                  <w:sz w:val="24"/>
                  <w:szCs w:val="24"/>
                </w:rPr>
                <w:t>9-2013 / 9-2012</w:t>
              </w:r>
            </w:hyperlink>
          </w:p>
        </w:tc>
        <w:tc>
          <w:tcPr>
            <w:tcW w:w="0" w:type="auto"/>
            <w:tcBorders>
              <w:top w:val="nil"/>
              <w:left w:val="nil"/>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line="276" w:lineRule="auto"/>
              <w:jc w:val="center"/>
              <w:rPr>
                <w:rFonts w:ascii="Times" w:hAnsi="Times" w:cs="Times"/>
                <w:sz w:val="24"/>
                <w:szCs w:val="24"/>
              </w:rPr>
            </w:pPr>
            <w:r>
              <w:rPr>
                <w:rFonts w:ascii="UICTFontTextStyleBody" w:hAnsi="UICTFontTextStyleBody"/>
                <w:b/>
                <w:bCs/>
                <w:sz w:val="24"/>
                <w:szCs w:val="24"/>
              </w:rPr>
              <w:t>Agosto</w:t>
            </w:r>
          </w:p>
          <w:p w:rsidR="00967059" w:rsidRDefault="00967059">
            <w:pPr>
              <w:spacing w:after="60" w:line="276" w:lineRule="auto"/>
              <w:jc w:val="center"/>
              <w:rPr>
                <w:rFonts w:ascii="Times" w:hAnsi="Times" w:cs="Times"/>
                <w:sz w:val="24"/>
                <w:szCs w:val="24"/>
              </w:rPr>
            </w:pPr>
            <w:r>
              <w:rPr>
                <w:rFonts w:ascii="UICTFontTextStyleBody" w:hAnsi="UICTFontTextStyleBody"/>
                <w:b/>
                <w:bCs/>
                <w:sz w:val="24"/>
                <w:szCs w:val="24"/>
              </w:rPr>
              <w:t>2013</w:t>
            </w:r>
          </w:p>
        </w:tc>
        <w:tc>
          <w:tcPr>
            <w:tcW w:w="0" w:type="auto"/>
            <w:tcBorders>
              <w:top w:val="nil"/>
              <w:left w:val="nil"/>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after="60" w:line="276" w:lineRule="auto"/>
              <w:jc w:val="center"/>
              <w:rPr>
                <w:rFonts w:ascii="Times" w:hAnsi="Times" w:cs="Times"/>
                <w:sz w:val="24"/>
                <w:szCs w:val="24"/>
              </w:rPr>
            </w:pPr>
            <w:proofErr w:type="spellStart"/>
            <w:r>
              <w:rPr>
                <w:rFonts w:ascii="UICTFontTextStyleBody" w:hAnsi="UICTFontTextStyleBody"/>
                <w:b/>
                <w:bCs/>
                <w:sz w:val="24"/>
                <w:szCs w:val="24"/>
              </w:rPr>
              <w:t>Variaz</w:t>
            </w:r>
            <w:proofErr w:type="spellEnd"/>
            <w:r>
              <w:rPr>
                <w:rFonts w:ascii="UICTFontTextStyleBody" w:hAnsi="UICTFontTextStyleBody"/>
                <w:b/>
                <w:bCs/>
                <w:sz w:val="24"/>
                <w:szCs w:val="24"/>
              </w:rPr>
              <w:t>. %</w:t>
            </w:r>
          </w:p>
          <w:p w:rsidR="00967059" w:rsidRDefault="00967059">
            <w:pPr>
              <w:spacing w:after="60" w:line="276" w:lineRule="auto"/>
              <w:jc w:val="center"/>
              <w:rPr>
                <w:rFonts w:ascii="Times" w:hAnsi="Times" w:cs="Times"/>
                <w:sz w:val="24"/>
                <w:szCs w:val="24"/>
              </w:rPr>
            </w:pPr>
            <w:hyperlink r:id="rId8" w:history="1">
              <w:r>
                <w:rPr>
                  <w:rStyle w:val="Collegamentoipertestuale"/>
                  <w:rFonts w:ascii="UICTFontTextStyleBody" w:hAnsi="UICTFontTextStyleBody" w:cs="Times"/>
                  <w:b/>
                  <w:bCs/>
                  <w:sz w:val="24"/>
                  <w:szCs w:val="24"/>
                </w:rPr>
                <w:t>9-2013 / 8-2013</w:t>
              </w:r>
            </w:hyperlink>
          </w:p>
        </w:tc>
      </w:tr>
      <w:tr w:rsidR="00967059" w:rsidTr="00967059">
        <w:tc>
          <w:tcPr>
            <w:tcW w:w="0" w:type="auto"/>
            <w:tcBorders>
              <w:top w:val="nil"/>
              <w:left w:val="single" w:sz="8" w:space="0" w:color="000000"/>
              <w:bottom w:val="single" w:sz="8" w:space="0" w:color="000000"/>
              <w:right w:val="single" w:sz="8" w:space="0" w:color="000000"/>
            </w:tcBorders>
            <w:shd w:val="clear" w:color="auto" w:fill="EAF1DD"/>
            <w:tcMar>
              <w:top w:w="15" w:type="dxa"/>
              <w:left w:w="15" w:type="dxa"/>
              <w:bottom w:w="15" w:type="dxa"/>
              <w:right w:w="15" w:type="dxa"/>
            </w:tcMar>
            <w:vAlign w:val="center"/>
            <w:hideMark/>
          </w:tcPr>
          <w:p w:rsidR="00967059" w:rsidRDefault="00967059">
            <w:pPr>
              <w:spacing w:after="60" w:line="276" w:lineRule="auto"/>
              <w:rPr>
                <w:rFonts w:ascii="Times" w:hAnsi="Times" w:cs="Times"/>
                <w:sz w:val="24"/>
                <w:szCs w:val="24"/>
              </w:rPr>
            </w:pPr>
            <w:r>
              <w:rPr>
                <w:rFonts w:ascii="UICTFontTextStyleBody" w:hAnsi="UICTFontTextStyleBody"/>
                <w:b/>
                <w:bCs/>
                <w:sz w:val="24"/>
                <w:szCs w:val="24"/>
              </w:rPr>
              <w:t>TOTALE SOFFERENZE</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117,637</w:t>
            </w:r>
          </w:p>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(58,602)</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144,525</w:t>
            </w:r>
          </w:p>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(75,162)</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+ 22,8 %</w:t>
            </w:r>
          </w:p>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(+ 28,3 %)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141,838</w:t>
            </w:r>
          </w:p>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(73,450)</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+ 1,9 %</w:t>
            </w:r>
          </w:p>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(+ 2,3 %)</w:t>
            </w:r>
          </w:p>
        </w:tc>
      </w:tr>
      <w:tr w:rsidR="00967059" w:rsidTr="00967059">
        <w:trPr>
          <w:trHeight w:val="30"/>
        </w:trPr>
        <w:tc>
          <w:tcPr>
            <w:tcW w:w="0" w:type="auto"/>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di cui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r>
      <w:tr w:rsidR="00967059" w:rsidTr="00967059">
        <w:tc>
          <w:tcPr>
            <w:tcW w:w="0" w:type="auto"/>
            <w:tcBorders>
              <w:top w:val="nil"/>
              <w:left w:val="single" w:sz="8" w:space="0" w:color="000000"/>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after="60" w:line="276" w:lineRule="auto"/>
              <w:jc w:val="both"/>
              <w:rPr>
                <w:rFonts w:ascii="Times" w:hAnsi="Times" w:cs="Times"/>
                <w:sz w:val="24"/>
                <w:szCs w:val="24"/>
              </w:rPr>
            </w:pPr>
            <w:r>
              <w:rPr>
                <w:rFonts w:ascii="UICTFontTextStyleBody" w:hAnsi="UICTFontTextStyleBody"/>
                <w:b/>
                <w:bCs/>
                <w:sz w:val="24"/>
                <w:szCs w:val="24"/>
              </w:rPr>
              <w:t>.. Società non Finanziarie</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77,166</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99,125</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+ 28,5 %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97,034</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+ 2,2 %</w:t>
            </w:r>
          </w:p>
        </w:tc>
      </w:tr>
      <w:tr w:rsidR="00967059" w:rsidTr="00967059">
        <w:trPr>
          <w:trHeight w:val="30"/>
        </w:trPr>
        <w:tc>
          <w:tcPr>
            <w:tcW w:w="0" w:type="auto"/>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967059" w:rsidRDefault="00967059">
            <w:pPr>
              <w:spacing w:after="60" w:line="30" w:lineRule="atLeast"/>
              <w:jc w:val="both"/>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30" w:lineRule="atLeast"/>
              <w:jc w:val="right"/>
              <w:rPr>
                <w:rFonts w:ascii="Times" w:hAnsi="Times" w:cs="Times"/>
                <w:sz w:val="24"/>
                <w:szCs w:val="24"/>
              </w:rPr>
            </w:pPr>
            <w:r>
              <w:rPr>
                <w:rFonts w:ascii="UICTFontTextStyleBody" w:hAnsi="UICTFontTextStyleBody"/>
                <w:sz w:val="24"/>
                <w:szCs w:val="24"/>
              </w:rPr>
              <w:t> </w:t>
            </w:r>
          </w:p>
        </w:tc>
      </w:tr>
      <w:tr w:rsidR="00967059" w:rsidTr="00967059">
        <w:tc>
          <w:tcPr>
            <w:tcW w:w="0" w:type="auto"/>
            <w:tcBorders>
              <w:top w:val="nil"/>
              <w:left w:val="single" w:sz="8" w:space="0" w:color="000000"/>
              <w:bottom w:val="single" w:sz="8" w:space="0" w:color="000000"/>
              <w:right w:val="single" w:sz="8" w:space="0" w:color="000000"/>
            </w:tcBorders>
            <w:shd w:val="clear" w:color="auto" w:fill="EAF1DD"/>
            <w:tcMar>
              <w:top w:w="15" w:type="dxa"/>
              <w:left w:w="15" w:type="dxa"/>
              <w:bottom w:w="15" w:type="dxa"/>
              <w:right w:w="15" w:type="dxa"/>
            </w:tcMar>
            <w:hideMark/>
          </w:tcPr>
          <w:p w:rsidR="00967059" w:rsidRDefault="00967059">
            <w:pPr>
              <w:spacing w:after="60" w:line="276" w:lineRule="auto"/>
              <w:jc w:val="both"/>
              <w:rPr>
                <w:rFonts w:ascii="Times" w:hAnsi="Times" w:cs="Times"/>
                <w:sz w:val="24"/>
                <w:szCs w:val="24"/>
              </w:rPr>
            </w:pPr>
            <w:r>
              <w:rPr>
                <w:rFonts w:ascii="UICTFontTextStyleBody" w:hAnsi="UICTFontTextStyleBody"/>
                <w:b/>
                <w:bCs/>
                <w:sz w:val="24"/>
                <w:szCs w:val="24"/>
              </w:rPr>
              <w:t>.. Altre </w:t>
            </w:r>
            <w:proofErr w:type="spellStart"/>
            <w:r>
              <w:rPr>
                <w:rFonts w:ascii="UICTFontTextStyleBody" w:hAnsi="UICTFontTextStyleBody"/>
                <w:b/>
                <w:bCs/>
                <w:sz w:val="24"/>
                <w:szCs w:val="24"/>
              </w:rPr>
              <w:t>Ist</w:t>
            </w:r>
            <w:proofErr w:type="spellEnd"/>
            <w:r>
              <w:rPr>
                <w:rFonts w:ascii="UICTFontTextStyleBody" w:hAnsi="UICTFontTextStyleBody"/>
                <w:b/>
                <w:bCs/>
                <w:sz w:val="24"/>
                <w:szCs w:val="24"/>
              </w:rPr>
              <w:t>. Finanziarie</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0,741</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0,998</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+ 34,7 %</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0,998</w:t>
            </w:r>
          </w:p>
        </w:tc>
        <w:tc>
          <w:tcPr>
            <w:tcW w:w="0" w:type="auto"/>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967059" w:rsidRDefault="00967059">
            <w:pPr>
              <w:spacing w:after="60" w:line="276" w:lineRule="auto"/>
              <w:jc w:val="right"/>
              <w:rPr>
                <w:rFonts w:ascii="Times" w:hAnsi="Times" w:cs="Times"/>
                <w:sz w:val="24"/>
                <w:szCs w:val="24"/>
              </w:rPr>
            </w:pPr>
            <w:r>
              <w:rPr>
                <w:rFonts w:ascii="UICTFontTextStyleBody" w:hAnsi="UICTFontTextStyleBody"/>
                <w:sz w:val="24"/>
                <w:szCs w:val="24"/>
              </w:rPr>
              <w:t>0,00 %</w:t>
            </w:r>
          </w:p>
        </w:tc>
      </w:tr>
      <w:tr w:rsidR="00967059" w:rsidTr="00967059">
        <w:tc>
          <w:tcPr>
            <w:tcW w:w="0" w:type="auto"/>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c>
          <w:tcPr>
            <w:tcW w:w="0" w:type="auto"/>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c>
          <w:tcPr>
            <w:tcW w:w="0" w:type="auto"/>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c>
          <w:tcPr>
            <w:tcW w:w="0" w:type="auto"/>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c>
          <w:tcPr>
            <w:tcW w:w="0" w:type="auto"/>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c>
          <w:tcPr>
            <w:tcW w:w="0" w:type="auto"/>
            <w:tcMar>
              <w:top w:w="15" w:type="dxa"/>
              <w:left w:w="15" w:type="dxa"/>
              <w:bottom w:w="15" w:type="dxa"/>
              <w:right w:w="15" w:type="dxa"/>
            </w:tcMar>
            <w:hideMark/>
          </w:tcPr>
          <w:p w:rsidR="00967059" w:rsidRDefault="00967059">
            <w:pPr>
              <w:rPr>
                <w:rFonts w:ascii="Times New Roman" w:eastAsia="Times New Roman" w:hAnsi="Times New Roman"/>
                <w:sz w:val="20"/>
                <w:szCs w:val="20"/>
                <w:lang w:eastAsia="it-IT"/>
              </w:rPr>
            </w:pPr>
          </w:p>
        </w:tc>
      </w:tr>
    </w:tbl>
    <w:p w:rsidR="00967059" w:rsidRDefault="00967059" w:rsidP="00967059">
      <w:pPr>
        <w:rPr>
          <w:rFonts w:ascii="Times New Roman" w:hAnsi="Times New Roman"/>
          <w:sz w:val="24"/>
          <w:szCs w:val="24"/>
          <w:lang w:eastAsia="it-IT"/>
        </w:rPr>
      </w:pPr>
      <w:r>
        <w:rPr>
          <w:rFonts w:ascii="Times New Roman" w:hAnsi="Times New Roman"/>
          <w:sz w:val="24"/>
          <w:szCs w:val="24"/>
          <w:lang w:eastAsia="it-IT"/>
        </w:rPr>
        <w:br/>
        <w:t xml:space="preserve">                                                          Elio Lannutti (Adusbef)- Rosario </w:t>
      </w:r>
      <w:proofErr w:type="spellStart"/>
      <w:r>
        <w:rPr>
          <w:rFonts w:ascii="Times New Roman" w:hAnsi="Times New Roman"/>
          <w:sz w:val="24"/>
          <w:szCs w:val="24"/>
          <w:lang w:eastAsia="it-IT"/>
        </w:rPr>
        <w:t>Trefiletti</w:t>
      </w:r>
      <w:proofErr w:type="spellEnd"/>
      <w:r>
        <w:rPr>
          <w:rFonts w:ascii="Times New Roman" w:hAnsi="Times New Roman"/>
          <w:sz w:val="24"/>
          <w:szCs w:val="24"/>
          <w:lang w:eastAsia="it-IT"/>
        </w:rPr>
        <w:t xml:space="preserve"> (Federconsumatori)</w:t>
      </w:r>
    </w:p>
    <w:p w:rsidR="00967059" w:rsidRDefault="00967059" w:rsidP="00967059">
      <w:pPr>
        <w:spacing w:after="240"/>
        <w:rPr>
          <w:rFonts w:ascii="Times New Roman" w:hAnsi="Times New Roman"/>
          <w:sz w:val="24"/>
          <w:szCs w:val="24"/>
          <w:lang w:eastAsia="it-IT"/>
        </w:rPr>
      </w:pPr>
      <w:r>
        <w:rPr>
          <w:rFonts w:ascii="Times New Roman" w:hAnsi="Times New Roman"/>
          <w:sz w:val="24"/>
          <w:szCs w:val="24"/>
          <w:lang w:eastAsia="it-IT"/>
        </w:rPr>
        <w:t>Roma,18.11.2013</w:t>
      </w:r>
    </w:p>
    <w:p w:rsidR="00967059" w:rsidRDefault="00967059" w:rsidP="00967059"/>
    <w:p w:rsidR="00C200C3" w:rsidRDefault="00C200C3">
      <w:bookmarkStart w:id="0" w:name="_GoBack"/>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ICTFontTextStyleBody">
    <w:altName w:val="Times New Roman"/>
    <w:charset w:val="00"/>
    <w:family w:val="auto"/>
    <w:pitch w:val="default"/>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059"/>
    <w:rsid w:val="00130235"/>
    <w:rsid w:val="001A3C40"/>
    <w:rsid w:val="002E4C34"/>
    <w:rsid w:val="00370059"/>
    <w:rsid w:val="00424BEE"/>
    <w:rsid w:val="004F322C"/>
    <w:rsid w:val="005F3BF0"/>
    <w:rsid w:val="00632BCB"/>
    <w:rsid w:val="007339EC"/>
    <w:rsid w:val="00754201"/>
    <w:rsid w:val="00873879"/>
    <w:rsid w:val="0094402A"/>
    <w:rsid w:val="00967059"/>
    <w:rsid w:val="009B4EA1"/>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67059"/>
    <w:pPr>
      <w:spacing w:line="240" w:lineRule="auto"/>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67059"/>
    <w:pPr>
      <w:spacing w:line="240" w:lineRule="auto"/>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80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9-2013%20/%208-2013" TargetMode="External"/><Relationship Id="rId3" Type="http://schemas.microsoft.com/office/2007/relationships/stylesWithEffects" Target="stylesWithEffects.xml"/><Relationship Id="rId7" Type="http://schemas.openxmlformats.org/officeDocument/2006/relationships/hyperlink" Target="tel:9-2013%20/%209-20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oll.n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549</Words>
  <Characters>3132</Characters>
  <Application>Microsoft Office Word</Application>
  <DocSecurity>0</DocSecurity>
  <Lines>26</Lines>
  <Paragraphs>7</Paragraphs>
  <ScaleCrop>false</ScaleCrop>
  <Company/>
  <LinksUpToDate>false</LinksUpToDate>
  <CharactersWithSpaces>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2013-11-18T12:03:00Z</dcterms:created>
  <dcterms:modified xsi:type="dcterms:W3CDTF">2013-11-18T12:04:00Z</dcterms:modified>
</cp:coreProperties>
</file>