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C62" w:rsidRDefault="00D00C62" w:rsidP="00DE4AB3">
      <w:pPr>
        <w:pStyle w:val="Nessunaspaziatura"/>
        <w:ind w:left="-284" w:firstLine="284"/>
        <w:jc w:val="center"/>
      </w:pPr>
      <w:r>
        <w:t>COMUNICATO STAMPA</w:t>
      </w:r>
    </w:p>
    <w:p w:rsidR="00D00C62" w:rsidRDefault="00D00C62" w:rsidP="00DE4AB3">
      <w:pPr>
        <w:pStyle w:val="Nessunaspaziatura"/>
        <w:ind w:left="-284" w:firstLine="284"/>
        <w:jc w:val="center"/>
      </w:pPr>
    </w:p>
    <w:p w:rsidR="00820BAA" w:rsidRDefault="00D00C62" w:rsidP="00DE4AB3">
      <w:pPr>
        <w:pStyle w:val="Nessunaspaziatura"/>
        <w:ind w:left="-284" w:firstLine="284"/>
        <w:jc w:val="center"/>
      </w:pPr>
      <w:r>
        <w:t xml:space="preserve">MPS: DIFFICILE POSSA RIMBORSARE 4 MLD DI MONTI BOND. </w:t>
      </w:r>
    </w:p>
    <w:p w:rsidR="00D00C62" w:rsidRDefault="00D00C62" w:rsidP="00DE4AB3">
      <w:pPr>
        <w:pStyle w:val="Nessunaspaziatura"/>
        <w:ind w:left="-284" w:firstLine="284"/>
        <w:jc w:val="center"/>
      </w:pPr>
      <w:r>
        <w:t>VIA MIGLIORE: NAZIONALIZZARE LA BANCA</w:t>
      </w:r>
    </w:p>
    <w:p w:rsidR="00D00C62" w:rsidRDefault="00D00C62" w:rsidP="00DE4AB3">
      <w:pPr>
        <w:pStyle w:val="Nessunaspaziatura"/>
        <w:ind w:left="-284" w:firstLine="284"/>
      </w:pPr>
    </w:p>
    <w:p w:rsidR="00D00C62" w:rsidRDefault="00D00C62" w:rsidP="00DE4AB3">
      <w:pPr>
        <w:pStyle w:val="Nessunaspaziatura"/>
        <w:ind w:left="-284" w:firstLine="284"/>
      </w:pPr>
      <w:r>
        <w:t>Dai dati della semestrale al 30 giugno 2013 del Monte dei Paschi di Siena, spacciati come  positivi dai massimi dirigenti, sembra difficile che possa poter rimborsare i 4,071 miliardi di euro di Monti Bond alla scadenza a tassi imposti nella media del 10%, trovando nel contempo 2,5 miliardi di euro richiesti dall’Europa per la capitalizzazione. A meno che non addossi a lavoratori (con il proseguimento di pesanti licenziamenti di bancari, come previsto dal piano industriale ), consumatori e risparmiatori (con l’aumento di costi e commissioni già elevati e pari a 291,30 euro per costi di gestione annui di un conto corrente), gli alti costi per rimborsare il debito allo Stato.</w:t>
      </w:r>
    </w:p>
    <w:p w:rsidR="00D00C62" w:rsidRDefault="00D00C62" w:rsidP="00DE4AB3">
      <w:pPr>
        <w:pStyle w:val="Nessunaspaziatura"/>
        <w:ind w:left="-284" w:firstLine="284"/>
      </w:pPr>
      <w:r>
        <w:t xml:space="preserve">   La capitalizzazione odierna in borsa di Banca </w:t>
      </w:r>
      <w:proofErr w:type="spellStart"/>
      <w:r>
        <w:t>Mps</w:t>
      </w:r>
      <w:proofErr w:type="spellEnd"/>
      <w:r>
        <w:t>, il cui titolo quota 0,21 euro ad azione, pari a 2,453 miliardi di euro, è inferiore all’aumento di capitale imposto dalla Commissione Europea di 2,5 miliardi di euro, mentre l’ultima semestrale al 30 giugno, che ha  registrato una perdita di 380 milioni di euro (con 152 milioni di interessi pagati sui Monti bond, che portano il margine di interesse in contrazione del 35,2% (-26,8% su basi omogenee), ed una crescita delle commissioni (+1,4%, +2,1% su basi omogenee), non sembra offrire vie di uscita per evitare la conversione del prestito pubblico in azioni, quindi la nazionalizzazione.</w:t>
      </w:r>
    </w:p>
    <w:p w:rsidR="00E26E9B" w:rsidRDefault="00E26E9B" w:rsidP="00D00C62">
      <w:pPr>
        <w:shd w:val="clear" w:color="auto" w:fill="FFFFFF"/>
        <w:spacing w:before="75" w:after="75" w:line="240" w:lineRule="auto"/>
        <w:jc w:val="both"/>
        <w:textAlignment w:val="top"/>
        <w:rPr>
          <w:rFonts w:ascii="Trebuchet MS" w:hAnsi="Trebuchet MS"/>
          <w:b/>
          <w:bCs/>
          <w:color w:val="74002A"/>
          <w:sz w:val="20"/>
          <w:szCs w:val="20"/>
          <w:lang w:eastAsia="it-IT"/>
        </w:rPr>
      </w:pPr>
    </w:p>
    <w:p w:rsidR="00D00C62" w:rsidRDefault="00D00C62" w:rsidP="00E26E9B">
      <w:pPr>
        <w:shd w:val="clear" w:color="auto" w:fill="FFFFFF"/>
        <w:spacing w:before="75" w:after="75" w:line="240" w:lineRule="auto"/>
        <w:jc w:val="center"/>
        <w:textAlignment w:val="top"/>
        <w:rPr>
          <w:rFonts w:ascii="Trebuchet MS" w:hAnsi="Trebuchet MS"/>
          <w:b/>
          <w:bCs/>
          <w:color w:val="74002A"/>
          <w:sz w:val="20"/>
          <w:szCs w:val="20"/>
          <w:lang w:eastAsia="it-IT"/>
        </w:rPr>
      </w:pPr>
      <w:r>
        <w:rPr>
          <w:rFonts w:ascii="Trebuchet MS" w:hAnsi="Trebuchet MS"/>
          <w:b/>
          <w:bCs/>
          <w:color w:val="74002A"/>
          <w:sz w:val="20"/>
          <w:szCs w:val="20"/>
          <w:lang w:eastAsia="it-IT"/>
        </w:rPr>
        <w:t>Il quadro di sintesi dei risultati al 30 Giugno 2013</w:t>
      </w:r>
    </w:p>
    <w:p w:rsidR="00D00C62" w:rsidRDefault="00D00C62" w:rsidP="00E26E9B">
      <w:pPr>
        <w:shd w:val="clear" w:color="auto" w:fill="FFFFFF"/>
        <w:spacing w:line="240" w:lineRule="auto"/>
        <w:jc w:val="center"/>
        <w:textAlignment w:val="top"/>
        <w:rPr>
          <w:rFonts w:ascii="Trebuchet MS" w:hAnsi="Trebuchet MS"/>
          <w:color w:val="828282"/>
          <w:sz w:val="17"/>
          <w:szCs w:val="17"/>
          <w:lang w:eastAsia="it-IT"/>
        </w:rPr>
      </w:pPr>
      <w:r>
        <w:rPr>
          <w:rFonts w:ascii="Trebuchet MS" w:hAnsi="Trebuchet MS"/>
          <w:color w:val="74002A"/>
          <w:sz w:val="17"/>
          <w:szCs w:val="17"/>
          <w:lang w:eastAsia="it-IT"/>
        </w:rPr>
        <w:t>Valori economici, patrimoniali e principali indicatori gestionali del Gruppo Montepaschi</w:t>
      </w:r>
    </w:p>
    <w:tbl>
      <w:tblPr>
        <w:tblW w:w="4974" w:type="pct"/>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left w:w="0" w:type="dxa"/>
          <w:right w:w="0" w:type="dxa"/>
        </w:tblCellMar>
        <w:tblLook w:val="04A0" w:firstRow="1" w:lastRow="0" w:firstColumn="1" w:lastColumn="0" w:noHBand="0" w:noVBand="1"/>
      </w:tblPr>
      <w:tblGrid>
        <w:gridCol w:w="5475"/>
        <w:gridCol w:w="1483"/>
        <w:gridCol w:w="1485"/>
        <w:gridCol w:w="1483"/>
      </w:tblGrid>
      <w:tr w:rsidR="00E26E9B" w:rsidRPr="00DE4AB3" w:rsidTr="00DE4AB3">
        <w:tc>
          <w:tcPr>
            <w:tcW w:w="2758" w:type="pct"/>
            <w:tcMar>
              <w:top w:w="30" w:type="dxa"/>
              <w:left w:w="45" w:type="dxa"/>
              <w:bottom w:w="30" w:type="dxa"/>
              <w:right w:w="0" w:type="dxa"/>
            </w:tcMar>
            <w:hideMark/>
          </w:tcPr>
          <w:p w:rsidR="00E26E9B" w:rsidRPr="00DE4AB3" w:rsidRDefault="00E26E9B" w:rsidP="00DE4AB3">
            <w:pPr>
              <w:pStyle w:val="Nessunaspaziatura"/>
              <w:spacing w:line="276" w:lineRule="auto"/>
              <w:ind w:left="0" w:right="165"/>
              <w:jc w:val="center"/>
              <w:rPr>
                <w:b/>
                <w:sz w:val="22"/>
              </w:rPr>
            </w:pPr>
            <w:r w:rsidRPr="00DE4AB3">
              <w:rPr>
                <w:b/>
                <w:sz w:val="22"/>
              </w:rPr>
              <w:t>Valori Economici (in € mln)</w:t>
            </w:r>
          </w:p>
        </w:tc>
        <w:tc>
          <w:tcPr>
            <w:tcW w:w="747" w:type="pct"/>
            <w:tcMar>
              <w:top w:w="30" w:type="dxa"/>
              <w:left w:w="45" w:type="dxa"/>
              <w:bottom w:w="30" w:type="dxa"/>
              <w:right w:w="0" w:type="dxa"/>
            </w:tcMar>
            <w:hideMark/>
          </w:tcPr>
          <w:p w:rsidR="00E26E9B" w:rsidRPr="00DE4AB3" w:rsidRDefault="00E26E9B" w:rsidP="00DE4AB3">
            <w:pPr>
              <w:pStyle w:val="Nessunaspaziatura"/>
              <w:spacing w:line="276" w:lineRule="auto"/>
              <w:ind w:left="0" w:right="165"/>
              <w:jc w:val="center"/>
              <w:rPr>
                <w:b/>
                <w:sz w:val="22"/>
              </w:rPr>
            </w:pPr>
            <w:r w:rsidRPr="00DE4AB3">
              <w:rPr>
                <w:b/>
                <w:sz w:val="22"/>
              </w:rPr>
              <w:t>30/06/13</w:t>
            </w:r>
          </w:p>
        </w:tc>
        <w:tc>
          <w:tcPr>
            <w:tcW w:w="748" w:type="pct"/>
            <w:tcMar>
              <w:top w:w="30" w:type="dxa"/>
              <w:left w:w="45" w:type="dxa"/>
              <w:bottom w:w="30" w:type="dxa"/>
              <w:right w:w="0" w:type="dxa"/>
            </w:tcMar>
            <w:hideMark/>
          </w:tcPr>
          <w:p w:rsidR="00E26E9B" w:rsidRPr="00DE4AB3" w:rsidRDefault="00E26E9B" w:rsidP="00DE4AB3">
            <w:pPr>
              <w:pStyle w:val="Nessunaspaziatura"/>
              <w:spacing w:line="276" w:lineRule="auto"/>
              <w:ind w:left="0"/>
              <w:jc w:val="center"/>
              <w:rPr>
                <w:b/>
                <w:sz w:val="22"/>
              </w:rPr>
            </w:pPr>
            <w:r w:rsidRPr="00DE4AB3">
              <w:rPr>
                <w:b/>
                <w:sz w:val="22"/>
              </w:rPr>
              <w:t>30/06/12 (*)</w:t>
            </w:r>
          </w:p>
        </w:tc>
        <w:tc>
          <w:tcPr>
            <w:tcW w:w="748" w:type="pct"/>
            <w:tcMar>
              <w:top w:w="30" w:type="dxa"/>
              <w:left w:w="45" w:type="dxa"/>
              <w:bottom w:w="30" w:type="dxa"/>
              <w:right w:w="0" w:type="dxa"/>
            </w:tcMar>
            <w:hideMark/>
          </w:tcPr>
          <w:p w:rsidR="00E26E9B" w:rsidRPr="00DE4AB3" w:rsidRDefault="00E26E9B" w:rsidP="00DE4AB3">
            <w:pPr>
              <w:pStyle w:val="Nessunaspaziatura"/>
              <w:spacing w:line="276" w:lineRule="auto"/>
              <w:ind w:left="0" w:right="165"/>
              <w:jc w:val="center"/>
              <w:rPr>
                <w:b/>
                <w:sz w:val="22"/>
              </w:rPr>
            </w:pPr>
            <w:proofErr w:type="spellStart"/>
            <w:r w:rsidRPr="00DE4AB3">
              <w:rPr>
                <w:b/>
                <w:sz w:val="22"/>
              </w:rPr>
              <w:t>Var</w:t>
            </w:r>
            <w:proofErr w:type="spellEnd"/>
            <w:r w:rsidRPr="00DE4AB3">
              <w:rPr>
                <w:b/>
                <w:sz w:val="22"/>
              </w:rPr>
              <w:t>. %</w:t>
            </w:r>
          </w:p>
        </w:tc>
      </w:tr>
      <w:tr w:rsidR="00E26E9B" w:rsidRPr="00E26E9B" w:rsidTr="00DE4AB3">
        <w:tc>
          <w:tcPr>
            <w:tcW w:w="275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rPr>
                <w:sz w:val="22"/>
              </w:rPr>
            </w:pPr>
            <w:r w:rsidRPr="00E26E9B">
              <w:rPr>
                <w:sz w:val="22"/>
              </w:rPr>
              <w:t>Margine intermediazione primario</w:t>
            </w:r>
          </w:p>
        </w:tc>
        <w:tc>
          <w:tcPr>
            <w:tcW w:w="747"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1.932,1</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2.507,9</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-23,0%</w:t>
            </w:r>
          </w:p>
        </w:tc>
      </w:tr>
      <w:tr w:rsidR="00E26E9B" w:rsidRPr="00E26E9B" w:rsidTr="00DE4AB3">
        <w:tc>
          <w:tcPr>
            <w:tcW w:w="275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rPr>
                <w:sz w:val="22"/>
              </w:rPr>
            </w:pPr>
            <w:r w:rsidRPr="00E26E9B">
              <w:rPr>
                <w:sz w:val="22"/>
              </w:rPr>
              <w:t xml:space="preserve">Margine della gestione </w:t>
            </w:r>
            <w:proofErr w:type="spellStart"/>
            <w:r w:rsidRPr="00E26E9B">
              <w:rPr>
                <w:sz w:val="22"/>
              </w:rPr>
              <w:t>finanz</w:t>
            </w:r>
            <w:proofErr w:type="spellEnd"/>
            <w:r>
              <w:rPr>
                <w:sz w:val="22"/>
              </w:rPr>
              <w:t>.</w:t>
            </w:r>
            <w:r w:rsidRPr="00E26E9B">
              <w:rPr>
                <w:sz w:val="22"/>
              </w:rPr>
              <w:t xml:space="preserve"> e assicurativa</w:t>
            </w:r>
          </w:p>
        </w:tc>
        <w:tc>
          <w:tcPr>
            <w:tcW w:w="747"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2.189,4</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2.810,5</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-22,1%</w:t>
            </w:r>
          </w:p>
        </w:tc>
      </w:tr>
      <w:tr w:rsidR="00E26E9B" w:rsidRPr="00E26E9B" w:rsidTr="00DE4AB3">
        <w:tc>
          <w:tcPr>
            <w:tcW w:w="275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rPr>
                <w:sz w:val="22"/>
              </w:rPr>
            </w:pPr>
            <w:r w:rsidRPr="00E26E9B">
              <w:rPr>
                <w:sz w:val="22"/>
              </w:rPr>
              <w:t>Risultato operativo netto</w:t>
            </w:r>
          </w:p>
        </w:tc>
        <w:tc>
          <w:tcPr>
            <w:tcW w:w="747"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-328,8</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         216,0</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proofErr w:type="spellStart"/>
            <w:r w:rsidRPr="00E26E9B">
              <w:rPr>
                <w:sz w:val="22"/>
              </w:rPr>
              <w:t>n.s.</w:t>
            </w:r>
            <w:proofErr w:type="spellEnd"/>
          </w:p>
        </w:tc>
      </w:tr>
      <w:tr w:rsidR="00E26E9B" w:rsidRPr="00E26E9B" w:rsidTr="00DE4AB3">
        <w:tc>
          <w:tcPr>
            <w:tcW w:w="275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rPr>
                <w:sz w:val="22"/>
              </w:rPr>
            </w:pPr>
            <w:r w:rsidRPr="00E26E9B">
              <w:rPr>
                <w:sz w:val="22"/>
              </w:rPr>
              <w:t>Utile netto di periodo</w:t>
            </w:r>
          </w:p>
        </w:tc>
        <w:tc>
          <w:tcPr>
            <w:tcW w:w="747"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-380,0</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r w:rsidRPr="00E26E9B">
              <w:rPr>
                <w:sz w:val="22"/>
              </w:rPr>
              <w:t>-1.551,5</w:t>
            </w:r>
          </w:p>
        </w:tc>
        <w:tc>
          <w:tcPr>
            <w:tcW w:w="748" w:type="pct"/>
            <w:tcMar>
              <w:top w:w="30" w:type="dxa"/>
              <w:left w:w="45" w:type="dxa"/>
              <w:bottom w:w="30" w:type="dxa"/>
              <w:right w:w="0" w:type="dxa"/>
            </w:tcMar>
            <w:hideMark/>
          </w:tcPr>
          <w:p w:rsidR="00E26E9B" w:rsidRPr="00E26E9B" w:rsidRDefault="00E26E9B" w:rsidP="00E26E9B">
            <w:pPr>
              <w:pStyle w:val="Nessunaspaziatura"/>
              <w:spacing w:line="276" w:lineRule="auto"/>
              <w:ind w:left="0" w:right="165"/>
              <w:jc w:val="right"/>
              <w:rPr>
                <w:sz w:val="22"/>
              </w:rPr>
            </w:pPr>
            <w:proofErr w:type="spellStart"/>
            <w:r w:rsidRPr="00E26E9B">
              <w:rPr>
                <w:sz w:val="22"/>
              </w:rPr>
              <w:t>n.s.</w:t>
            </w:r>
            <w:proofErr w:type="spellEnd"/>
          </w:p>
        </w:tc>
      </w:tr>
    </w:tbl>
    <w:p w:rsidR="00D00C62" w:rsidRPr="00E26E9B" w:rsidRDefault="00D00C62" w:rsidP="00D00C62">
      <w:pPr>
        <w:shd w:val="clear" w:color="auto" w:fill="FFFFFF"/>
        <w:spacing w:line="240" w:lineRule="auto"/>
        <w:jc w:val="both"/>
        <w:textAlignment w:val="top"/>
        <w:rPr>
          <w:rFonts w:ascii="Trebuchet MS" w:hAnsi="Trebuchet MS"/>
          <w:vanish/>
          <w:color w:val="828282"/>
          <w:sz w:val="16"/>
          <w:szCs w:val="17"/>
          <w:lang w:eastAsia="it-IT"/>
        </w:rPr>
      </w:pPr>
    </w:p>
    <w:tbl>
      <w:tblPr>
        <w:tblW w:w="5000" w:type="pct"/>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left w:w="0" w:type="dxa"/>
          <w:right w:w="0" w:type="dxa"/>
        </w:tblCellMar>
        <w:tblLook w:val="04A0" w:firstRow="1" w:lastRow="0" w:firstColumn="1" w:lastColumn="0" w:noHBand="0" w:noVBand="1"/>
      </w:tblPr>
      <w:tblGrid>
        <w:gridCol w:w="5487"/>
        <w:gridCol w:w="1497"/>
        <w:gridCol w:w="1497"/>
        <w:gridCol w:w="1497"/>
      </w:tblGrid>
      <w:tr w:rsidR="00D00C62" w:rsidRPr="00DE4AB3" w:rsidTr="00DE4AB3">
        <w:tc>
          <w:tcPr>
            <w:tcW w:w="2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r w:rsidRPr="00DE4AB3">
              <w:rPr>
                <w:b/>
                <w:sz w:val="22"/>
              </w:rPr>
              <w:t>Valori patrim</w:t>
            </w:r>
            <w:r w:rsidR="00E26E9B" w:rsidRPr="00DE4AB3">
              <w:rPr>
                <w:b/>
                <w:sz w:val="22"/>
              </w:rPr>
              <w:t>.</w:t>
            </w:r>
            <w:r w:rsidRPr="00DE4AB3">
              <w:rPr>
                <w:b/>
                <w:sz w:val="22"/>
              </w:rPr>
              <w:t>li ed operativi (in € mln) - Dati storici</w:t>
            </w:r>
          </w:p>
        </w:tc>
        <w:tc>
          <w:tcPr>
            <w:tcW w:w="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r w:rsidRPr="00DE4AB3">
              <w:rPr>
                <w:b/>
                <w:sz w:val="22"/>
              </w:rPr>
              <w:t>30/06/13</w:t>
            </w:r>
          </w:p>
        </w:tc>
        <w:tc>
          <w:tcPr>
            <w:tcW w:w="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r w:rsidRPr="00DE4AB3">
              <w:rPr>
                <w:b/>
                <w:sz w:val="22"/>
              </w:rPr>
              <w:t>31/12/12</w:t>
            </w:r>
          </w:p>
        </w:tc>
        <w:tc>
          <w:tcPr>
            <w:tcW w:w="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proofErr w:type="spellStart"/>
            <w:r w:rsidRPr="00DE4AB3">
              <w:rPr>
                <w:b/>
                <w:sz w:val="22"/>
              </w:rPr>
              <w:t>Var</w:t>
            </w:r>
            <w:proofErr w:type="spellEnd"/>
            <w:r w:rsidRPr="00DE4AB3">
              <w:rPr>
                <w:b/>
                <w:sz w:val="22"/>
              </w:rPr>
              <w:t>. %</w:t>
            </w:r>
          </w:p>
        </w:tc>
      </w:tr>
      <w:tr w:rsidR="00D00C62" w:rsidRPr="00E26E9B" w:rsidTr="00DE4AB3">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 xml:space="preserve">Raccolta Diretta  </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137.078</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135.670</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1,0%</w:t>
            </w:r>
          </w:p>
        </w:tc>
      </w:tr>
      <w:tr w:rsidR="00D00C62" w:rsidRPr="00E26E9B" w:rsidTr="00DE4AB3">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Raccolta Indiretta</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104.434</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114.176</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-8,5%</w:t>
            </w:r>
          </w:p>
        </w:tc>
      </w:tr>
      <w:tr w:rsidR="00D00C62" w:rsidRPr="00E26E9B" w:rsidTr="00DE4AB3">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 </w:t>
            </w:r>
            <w:r w:rsidRPr="00E26E9B">
              <w:rPr>
                <w:i/>
                <w:iCs/>
                <w:sz w:val="22"/>
              </w:rPr>
              <w:t>di cui Risparmio Gestito</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i/>
                <w:iCs/>
                <w:sz w:val="22"/>
              </w:rPr>
              <w:t>   42.828</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i/>
                <w:iCs/>
                <w:sz w:val="22"/>
              </w:rPr>
              <w:t>44.540</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i/>
                <w:iCs/>
                <w:sz w:val="22"/>
              </w:rPr>
              <w:t>-3,8%</w:t>
            </w:r>
          </w:p>
        </w:tc>
      </w:tr>
      <w:tr w:rsidR="00D00C62" w:rsidRPr="00E26E9B" w:rsidTr="00DE4AB3">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i/>
                <w:iCs/>
                <w:sz w:val="22"/>
              </w:rPr>
              <w:t xml:space="preserve"> di cui Risparmio Amministrato </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i/>
                <w:iCs/>
                <w:sz w:val="22"/>
              </w:rPr>
              <w:t>61.606</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i/>
                <w:iCs/>
                <w:sz w:val="22"/>
              </w:rPr>
              <w:t> 69.636</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i/>
                <w:iCs/>
                <w:sz w:val="22"/>
              </w:rPr>
              <w:t>-11,5%</w:t>
            </w:r>
          </w:p>
        </w:tc>
      </w:tr>
      <w:tr w:rsidR="00D00C62" w:rsidRPr="00E26E9B" w:rsidTr="00DE4AB3">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 xml:space="preserve">Crediti verso Clientela </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138.082</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142.015</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-2,8%</w:t>
            </w:r>
          </w:p>
        </w:tc>
      </w:tr>
      <w:tr w:rsidR="00D00C62" w:rsidRPr="00E26E9B" w:rsidTr="00DE4AB3">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 xml:space="preserve">Patrimonio netto di Gruppo </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6.631</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6.396</w:t>
            </w:r>
          </w:p>
        </w:tc>
        <w:tc>
          <w:tcPr>
            <w:tcW w:w="0" w:type="auto"/>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-3,7%</w:t>
            </w:r>
          </w:p>
        </w:tc>
      </w:tr>
    </w:tbl>
    <w:p w:rsidR="00D00C62" w:rsidRPr="00E26E9B" w:rsidRDefault="00D00C62" w:rsidP="00D00C62">
      <w:pPr>
        <w:pStyle w:val="Nessunaspaziatura"/>
        <w:rPr>
          <w:rFonts w:ascii="Calibri" w:hAnsi="Calibri"/>
          <w:vanish/>
          <w:color w:val="828282"/>
          <w:sz w:val="16"/>
          <w:szCs w:val="17"/>
        </w:rPr>
      </w:pPr>
    </w:p>
    <w:tbl>
      <w:tblPr>
        <w:tblW w:w="5000" w:type="pct"/>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left w:w="0" w:type="dxa"/>
          <w:right w:w="0" w:type="dxa"/>
        </w:tblCellMar>
        <w:tblLook w:val="04A0" w:firstRow="1" w:lastRow="0" w:firstColumn="1" w:lastColumn="0" w:noHBand="0" w:noVBand="1"/>
      </w:tblPr>
      <w:tblGrid>
        <w:gridCol w:w="5487"/>
        <w:gridCol w:w="1497"/>
        <w:gridCol w:w="1497"/>
        <w:gridCol w:w="1497"/>
      </w:tblGrid>
      <w:tr w:rsidR="00D00C62" w:rsidRPr="00DE4AB3" w:rsidTr="00DE4AB3">
        <w:tc>
          <w:tcPr>
            <w:tcW w:w="2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r w:rsidRPr="00DE4AB3">
              <w:rPr>
                <w:b/>
                <w:sz w:val="22"/>
              </w:rPr>
              <w:t>Indici di qualità del credito (%) - Dati storici</w:t>
            </w:r>
          </w:p>
        </w:tc>
        <w:tc>
          <w:tcPr>
            <w:tcW w:w="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r w:rsidRPr="00DE4AB3">
              <w:rPr>
                <w:b/>
                <w:sz w:val="22"/>
              </w:rPr>
              <w:t>30/06/13</w:t>
            </w:r>
          </w:p>
        </w:tc>
        <w:tc>
          <w:tcPr>
            <w:tcW w:w="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r w:rsidRPr="00DE4AB3">
              <w:rPr>
                <w:b/>
                <w:sz w:val="22"/>
              </w:rPr>
              <w:t>31/12/12</w:t>
            </w:r>
          </w:p>
        </w:tc>
        <w:tc>
          <w:tcPr>
            <w:tcW w:w="750" w:type="pct"/>
            <w:tcMar>
              <w:top w:w="30" w:type="dxa"/>
              <w:left w:w="45" w:type="dxa"/>
              <w:bottom w:w="30" w:type="dxa"/>
              <w:right w:w="0" w:type="dxa"/>
            </w:tcMar>
            <w:hideMark/>
          </w:tcPr>
          <w:p w:rsidR="00D00C62" w:rsidRPr="00DE4AB3" w:rsidRDefault="00D00C62" w:rsidP="00DE4AB3">
            <w:pPr>
              <w:pStyle w:val="Nessunaspaziatura"/>
              <w:spacing w:line="276" w:lineRule="auto"/>
              <w:ind w:left="0"/>
              <w:jc w:val="center"/>
              <w:rPr>
                <w:b/>
                <w:sz w:val="22"/>
              </w:rPr>
            </w:pPr>
            <w:proofErr w:type="spellStart"/>
            <w:r w:rsidRPr="00DE4AB3">
              <w:rPr>
                <w:b/>
                <w:sz w:val="22"/>
              </w:rPr>
              <w:t>Var</w:t>
            </w:r>
            <w:proofErr w:type="spellEnd"/>
            <w:r w:rsidRPr="00DE4AB3">
              <w:rPr>
                <w:b/>
                <w:sz w:val="22"/>
              </w:rPr>
              <w:t xml:space="preserve">. </w:t>
            </w:r>
            <w:proofErr w:type="spellStart"/>
            <w:r w:rsidRPr="00DE4AB3">
              <w:rPr>
                <w:b/>
                <w:sz w:val="22"/>
              </w:rPr>
              <w:t>ass</w:t>
            </w:r>
            <w:proofErr w:type="spellEnd"/>
            <w:r w:rsidRPr="00DE4AB3">
              <w:rPr>
                <w:b/>
                <w:sz w:val="22"/>
              </w:rPr>
              <w:t>.</w:t>
            </w:r>
          </w:p>
        </w:tc>
      </w:tr>
      <w:tr w:rsidR="00D00C62" w:rsidRPr="00E26E9B" w:rsidTr="00DE4AB3">
        <w:tc>
          <w:tcPr>
            <w:tcW w:w="2750" w:type="pct"/>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Crediti in sofferenza netti/Crediti verso clientela</w:t>
            </w:r>
          </w:p>
        </w:tc>
        <w:tc>
          <w:tcPr>
            <w:tcW w:w="750" w:type="pct"/>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5,8</w:t>
            </w:r>
          </w:p>
        </w:tc>
        <w:tc>
          <w:tcPr>
            <w:tcW w:w="750" w:type="pct"/>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5,1</w:t>
            </w:r>
          </w:p>
        </w:tc>
        <w:tc>
          <w:tcPr>
            <w:tcW w:w="750" w:type="pct"/>
            <w:tcMar>
              <w:top w:w="30" w:type="dxa"/>
              <w:left w:w="45" w:type="dxa"/>
              <w:bottom w:w="30" w:type="dxa"/>
              <w:right w:w="0" w:type="dxa"/>
            </w:tcMar>
            <w:hideMark/>
          </w:tcPr>
          <w:p w:rsidR="00D00C62" w:rsidRPr="00E26E9B" w:rsidRDefault="00D00C62" w:rsidP="00E26E9B">
            <w:pPr>
              <w:pStyle w:val="Nessunaspaziatura"/>
              <w:spacing w:line="276" w:lineRule="auto"/>
              <w:ind w:left="0"/>
              <w:jc w:val="right"/>
              <w:rPr>
                <w:sz w:val="22"/>
              </w:rPr>
            </w:pPr>
            <w:r w:rsidRPr="00E26E9B">
              <w:rPr>
                <w:sz w:val="22"/>
              </w:rPr>
              <w:t>0,6</w:t>
            </w:r>
          </w:p>
        </w:tc>
      </w:tr>
      <w:tr w:rsidR="00D00C62" w:rsidRPr="00E26E9B" w:rsidTr="00DE4AB3">
        <w:tc>
          <w:tcPr>
            <w:tcW w:w="2750" w:type="pct"/>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 xml:space="preserve">Incagli netti/Crediti verso Clientela </w:t>
            </w:r>
          </w:p>
        </w:tc>
        <w:tc>
          <w:tcPr>
            <w:tcW w:w="750" w:type="pct"/>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5,0</w:t>
            </w:r>
          </w:p>
        </w:tc>
        <w:tc>
          <w:tcPr>
            <w:tcW w:w="750" w:type="pct"/>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4,2</w:t>
            </w:r>
          </w:p>
        </w:tc>
        <w:tc>
          <w:tcPr>
            <w:tcW w:w="750" w:type="pct"/>
            <w:tcMar>
              <w:top w:w="30" w:type="dxa"/>
              <w:left w:w="45" w:type="dxa"/>
              <w:bottom w:w="30" w:type="dxa"/>
              <w:right w:w="0" w:type="dxa"/>
            </w:tcMar>
            <w:hideMark/>
          </w:tcPr>
          <w:p w:rsidR="00D00C62" w:rsidRPr="00E26E9B" w:rsidRDefault="00D00C62" w:rsidP="00E26E9B">
            <w:pPr>
              <w:pStyle w:val="Nessunaspaziatura"/>
              <w:spacing w:line="276" w:lineRule="auto"/>
              <w:ind w:left="0"/>
              <w:rPr>
                <w:sz w:val="22"/>
              </w:rPr>
            </w:pPr>
            <w:r w:rsidRPr="00E26E9B">
              <w:rPr>
                <w:sz w:val="22"/>
              </w:rPr>
              <w:t>0,8</w:t>
            </w:r>
          </w:p>
        </w:tc>
      </w:tr>
    </w:tbl>
    <w:p w:rsidR="00D00C62" w:rsidRDefault="00D00C62" w:rsidP="00D00C62">
      <w:pPr>
        <w:shd w:val="clear" w:color="auto" w:fill="FFFFFF"/>
        <w:spacing w:line="240" w:lineRule="auto"/>
        <w:jc w:val="both"/>
        <w:textAlignment w:val="top"/>
        <w:rPr>
          <w:rFonts w:ascii="Trebuchet MS" w:hAnsi="Trebuchet MS"/>
          <w:vanish/>
          <w:color w:val="828282"/>
          <w:sz w:val="17"/>
          <w:szCs w:val="17"/>
          <w:lang w:eastAsia="it-IT"/>
        </w:rPr>
      </w:pPr>
    </w:p>
    <w:tbl>
      <w:tblPr>
        <w:tblW w:w="5000" w:type="pct"/>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CellMar>
          <w:left w:w="0" w:type="dxa"/>
          <w:right w:w="0" w:type="dxa"/>
        </w:tblCellMar>
        <w:tblLook w:val="04A0" w:firstRow="1" w:lastRow="0" w:firstColumn="1" w:lastColumn="0" w:noHBand="0" w:noVBand="1"/>
      </w:tblPr>
      <w:tblGrid>
        <w:gridCol w:w="5114"/>
        <w:gridCol w:w="289"/>
        <w:gridCol w:w="86"/>
        <w:gridCol w:w="1391"/>
        <w:gridCol w:w="118"/>
        <w:gridCol w:w="1505"/>
        <w:gridCol w:w="894"/>
        <w:gridCol w:w="581"/>
      </w:tblGrid>
      <w:tr w:rsidR="00E26E9B" w:rsidTr="00DE4AB3">
        <w:tc>
          <w:tcPr>
            <w:tcW w:w="2708" w:type="pct"/>
            <w:gridSpan w:val="2"/>
            <w:tcMar>
              <w:top w:w="30" w:type="dxa"/>
              <w:left w:w="45" w:type="dxa"/>
              <w:bottom w:w="30" w:type="dxa"/>
              <w:right w:w="0" w:type="dxa"/>
            </w:tcMar>
            <w:hideMark/>
          </w:tcPr>
          <w:p w:rsidR="00E26E9B" w:rsidRPr="00E26E9B" w:rsidRDefault="00E26E9B" w:rsidP="00E26E9B">
            <w:pPr>
              <w:pStyle w:val="Nessunaspaziatura"/>
              <w:spacing w:line="276" w:lineRule="auto"/>
              <w:ind w:left="0"/>
              <w:rPr>
                <w:sz w:val="22"/>
              </w:rPr>
            </w:pPr>
            <w:r w:rsidRPr="00E26E9B">
              <w:rPr>
                <w:sz w:val="22"/>
              </w:rPr>
              <w:t xml:space="preserve">Numero azioni ordinarie in circolazione </w:t>
            </w:r>
          </w:p>
        </w:tc>
        <w:tc>
          <w:tcPr>
            <w:tcW w:w="740" w:type="pct"/>
            <w:gridSpan w:val="2"/>
            <w:tcMar>
              <w:top w:w="30" w:type="dxa"/>
              <w:left w:w="45" w:type="dxa"/>
              <w:bottom w:w="30" w:type="dxa"/>
              <w:right w:w="0" w:type="dxa"/>
            </w:tcMar>
            <w:hideMark/>
          </w:tcPr>
          <w:p w:rsidR="00E26E9B" w:rsidRPr="00E26E9B" w:rsidRDefault="00E26E9B" w:rsidP="00E26E9B">
            <w:pPr>
              <w:pStyle w:val="Nessunaspaziatura"/>
              <w:spacing w:line="276" w:lineRule="auto"/>
              <w:ind w:left="0"/>
              <w:rPr>
                <w:sz w:val="22"/>
              </w:rPr>
            </w:pPr>
            <w:r w:rsidRPr="00E26E9B">
              <w:rPr>
                <w:sz w:val="20"/>
              </w:rPr>
              <w:t>11.681.539.706</w:t>
            </w:r>
            <w:r w:rsidRPr="00E26E9B">
              <w:rPr>
                <w:sz w:val="22"/>
              </w:rPr>
              <w:t xml:space="preserve"> </w:t>
            </w:r>
          </w:p>
        </w:tc>
        <w:tc>
          <w:tcPr>
            <w:tcW w:w="813" w:type="pct"/>
            <w:gridSpan w:val="2"/>
            <w:tcMar>
              <w:top w:w="30" w:type="dxa"/>
              <w:left w:w="45" w:type="dxa"/>
              <w:bottom w:w="30" w:type="dxa"/>
              <w:right w:w="0" w:type="dxa"/>
            </w:tcMar>
            <w:hideMark/>
          </w:tcPr>
          <w:p w:rsidR="00E26E9B" w:rsidRPr="00E26E9B" w:rsidRDefault="00E26E9B" w:rsidP="00E26E9B">
            <w:pPr>
              <w:pStyle w:val="Nessunaspaziatura"/>
              <w:spacing w:line="276" w:lineRule="auto"/>
              <w:ind w:left="0"/>
              <w:rPr>
                <w:sz w:val="20"/>
              </w:rPr>
            </w:pPr>
            <w:r w:rsidRPr="00E26E9B">
              <w:rPr>
                <w:sz w:val="20"/>
              </w:rPr>
              <w:t xml:space="preserve"> 11.681.539.706 </w:t>
            </w:r>
          </w:p>
        </w:tc>
        <w:tc>
          <w:tcPr>
            <w:tcW w:w="739" w:type="pct"/>
            <w:gridSpan w:val="2"/>
            <w:tcMar>
              <w:top w:w="30" w:type="dxa"/>
              <w:left w:w="45" w:type="dxa"/>
              <w:bottom w:w="30" w:type="dxa"/>
              <w:right w:w="0" w:type="dxa"/>
            </w:tcMar>
            <w:hideMark/>
          </w:tcPr>
          <w:p w:rsidR="00E26E9B" w:rsidRDefault="00E26E9B" w:rsidP="00E26E9B">
            <w:pPr>
              <w:spacing w:after="0" w:line="240" w:lineRule="auto"/>
              <w:rPr>
                <w:rFonts w:ascii="Times New Roman" w:eastAsia="Times New Roman" w:hAnsi="Times New Roman"/>
                <w:sz w:val="20"/>
                <w:szCs w:val="20"/>
                <w:lang w:eastAsia="it-IT"/>
              </w:rPr>
            </w:pPr>
          </w:p>
        </w:tc>
      </w:tr>
      <w:tr w:rsidR="00E26E9B" w:rsidTr="00DE4AB3">
        <w:trPr>
          <w:gridAfter w:val="2"/>
          <w:wAfter w:w="739" w:type="pct"/>
        </w:trPr>
        <w:tc>
          <w:tcPr>
            <w:tcW w:w="2751" w:type="pct"/>
            <w:gridSpan w:val="3"/>
            <w:tcMar>
              <w:top w:w="30" w:type="dxa"/>
              <w:left w:w="45" w:type="dxa"/>
              <w:bottom w:w="30" w:type="dxa"/>
              <w:right w:w="0" w:type="dxa"/>
            </w:tcMar>
            <w:hideMark/>
          </w:tcPr>
          <w:p w:rsidR="00E26E9B" w:rsidRPr="00E26E9B" w:rsidRDefault="00E26E9B" w:rsidP="00E26E9B">
            <w:pPr>
              <w:pStyle w:val="Nessunaspaziatura"/>
              <w:spacing w:line="276" w:lineRule="auto"/>
              <w:ind w:left="0"/>
              <w:rPr>
                <w:sz w:val="22"/>
              </w:rPr>
            </w:pPr>
            <w:r w:rsidRPr="00E26E9B">
              <w:rPr>
                <w:sz w:val="22"/>
              </w:rPr>
              <w:t>N. dipendenti complessivi - dato puntuale</w:t>
            </w:r>
          </w:p>
        </w:tc>
        <w:tc>
          <w:tcPr>
            <w:tcW w:w="756" w:type="pct"/>
            <w:gridSpan w:val="2"/>
            <w:tcMar>
              <w:top w:w="30" w:type="dxa"/>
              <w:left w:w="45" w:type="dxa"/>
              <w:bottom w:w="30" w:type="dxa"/>
              <w:right w:w="0" w:type="dxa"/>
            </w:tcMar>
            <w:hideMark/>
          </w:tcPr>
          <w:p w:rsidR="00E26E9B" w:rsidRPr="00E26E9B" w:rsidRDefault="00E26E9B" w:rsidP="00E26E9B">
            <w:pPr>
              <w:pStyle w:val="Nessunaspaziatura"/>
              <w:spacing w:line="276" w:lineRule="auto"/>
              <w:ind w:left="0"/>
              <w:rPr>
                <w:sz w:val="22"/>
              </w:rPr>
            </w:pPr>
            <w:r w:rsidRPr="00E26E9B">
              <w:rPr>
                <w:sz w:val="22"/>
              </w:rPr>
              <w:t xml:space="preserve">28.473 </w:t>
            </w:r>
          </w:p>
        </w:tc>
        <w:tc>
          <w:tcPr>
            <w:tcW w:w="754" w:type="pct"/>
            <w:tcMar>
              <w:top w:w="30" w:type="dxa"/>
              <w:left w:w="45" w:type="dxa"/>
              <w:bottom w:w="30" w:type="dxa"/>
              <w:right w:w="0" w:type="dxa"/>
            </w:tcMar>
            <w:hideMark/>
          </w:tcPr>
          <w:p w:rsidR="00E26E9B" w:rsidRPr="00E26E9B" w:rsidRDefault="00E26E9B" w:rsidP="00E26E9B">
            <w:pPr>
              <w:pStyle w:val="Nessunaspaziatura"/>
              <w:spacing w:line="276" w:lineRule="auto"/>
              <w:ind w:left="0"/>
              <w:rPr>
                <w:sz w:val="22"/>
              </w:rPr>
            </w:pPr>
            <w:r w:rsidRPr="00E26E9B">
              <w:rPr>
                <w:sz w:val="22"/>
              </w:rPr>
              <w:t xml:space="preserve">30.303 </w:t>
            </w:r>
          </w:p>
        </w:tc>
      </w:tr>
      <w:tr w:rsidR="00E26E9B" w:rsidTr="00DE4AB3">
        <w:trPr>
          <w:gridAfter w:val="2"/>
          <w:wAfter w:w="739" w:type="pct"/>
          <w:trHeight w:val="192"/>
        </w:trPr>
        <w:tc>
          <w:tcPr>
            <w:tcW w:w="2751" w:type="pct"/>
            <w:gridSpan w:val="3"/>
            <w:tcMar>
              <w:top w:w="30" w:type="dxa"/>
              <w:left w:w="45" w:type="dxa"/>
              <w:bottom w:w="30" w:type="dxa"/>
              <w:right w:w="0" w:type="dxa"/>
            </w:tcMar>
            <w:hideMark/>
          </w:tcPr>
          <w:p w:rsidR="00E26E9B" w:rsidRDefault="00E26E9B" w:rsidP="00E26E9B">
            <w:pPr>
              <w:pStyle w:val="Nessunaspaziatura"/>
              <w:spacing w:line="276" w:lineRule="auto"/>
              <w:ind w:left="0"/>
            </w:pPr>
            <w:r>
              <w:t>Numero Filiali Italia Reti Commerciali</w:t>
            </w:r>
          </w:p>
        </w:tc>
        <w:tc>
          <w:tcPr>
            <w:tcW w:w="756" w:type="pct"/>
            <w:gridSpan w:val="2"/>
            <w:tcMar>
              <w:top w:w="30" w:type="dxa"/>
              <w:left w:w="45" w:type="dxa"/>
              <w:bottom w:w="30" w:type="dxa"/>
              <w:right w:w="0" w:type="dxa"/>
            </w:tcMar>
            <w:hideMark/>
          </w:tcPr>
          <w:p w:rsidR="00E26E9B" w:rsidRDefault="00E26E9B" w:rsidP="00E26E9B">
            <w:pPr>
              <w:pStyle w:val="Nessunaspaziatura"/>
              <w:spacing w:line="276" w:lineRule="auto"/>
              <w:ind w:left="0"/>
            </w:pPr>
            <w:r>
              <w:t xml:space="preserve">2.392 </w:t>
            </w:r>
          </w:p>
        </w:tc>
        <w:tc>
          <w:tcPr>
            <w:tcW w:w="754" w:type="pct"/>
            <w:tcMar>
              <w:top w:w="30" w:type="dxa"/>
              <w:left w:w="45" w:type="dxa"/>
              <w:bottom w:w="30" w:type="dxa"/>
              <w:right w:w="0" w:type="dxa"/>
            </w:tcMar>
            <w:hideMark/>
          </w:tcPr>
          <w:p w:rsidR="00E26E9B" w:rsidRDefault="00E26E9B" w:rsidP="00E26E9B">
            <w:pPr>
              <w:pStyle w:val="Nessunaspaziatura"/>
              <w:spacing w:line="276" w:lineRule="auto"/>
              <w:ind w:left="0"/>
            </w:pPr>
            <w:r>
              <w:t xml:space="preserve">2.671 </w:t>
            </w:r>
          </w:p>
        </w:tc>
      </w:tr>
      <w:tr w:rsidR="00E26E9B" w:rsidTr="00DE4AB3">
        <w:tc>
          <w:tcPr>
            <w:tcW w:w="2563" w:type="pct"/>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c>
          <w:tcPr>
            <w:tcW w:w="187" w:type="pct"/>
            <w:gridSpan w:val="2"/>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c>
          <w:tcPr>
            <w:tcW w:w="697" w:type="pct"/>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c>
          <w:tcPr>
            <w:tcW w:w="59" w:type="pct"/>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c>
          <w:tcPr>
            <w:tcW w:w="754" w:type="pct"/>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c>
          <w:tcPr>
            <w:tcW w:w="448" w:type="pct"/>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c>
          <w:tcPr>
            <w:tcW w:w="291" w:type="pct"/>
            <w:vAlign w:val="center"/>
            <w:hideMark/>
          </w:tcPr>
          <w:p w:rsidR="00E26E9B" w:rsidRDefault="00E26E9B" w:rsidP="00E26E9B">
            <w:pPr>
              <w:spacing w:after="0" w:line="240" w:lineRule="auto"/>
              <w:rPr>
                <w:rFonts w:ascii="Times New Roman" w:eastAsia="Times New Roman" w:hAnsi="Times New Roman"/>
                <w:sz w:val="20"/>
                <w:szCs w:val="20"/>
                <w:lang w:eastAsia="it-IT"/>
              </w:rPr>
            </w:pPr>
          </w:p>
        </w:tc>
      </w:tr>
    </w:tbl>
    <w:p w:rsidR="00E26E9B" w:rsidRDefault="00D00C62" w:rsidP="00E26E9B">
      <w:pPr>
        <w:pStyle w:val="Nessunaspaziatura"/>
        <w:ind w:left="0"/>
      </w:pPr>
      <w:r>
        <w:lastRenderedPageBreak/>
        <w:t>  </w:t>
      </w:r>
    </w:p>
    <w:p w:rsidR="00D00C62" w:rsidRDefault="00D00C62" w:rsidP="00E26E9B">
      <w:pPr>
        <w:pStyle w:val="Nessunaspaziatura"/>
        <w:ind w:left="0"/>
        <w:rPr>
          <w:rFonts w:ascii="Calibri" w:hAnsi="Calibri"/>
          <w:color w:val="auto"/>
          <w:sz w:val="22"/>
          <w:szCs w:val="22"/>
          <w:lang w:eastAsia="en-US"/>
        </w:rPr>
      </w:pPr>
      <w:r>
        <w:t xml:space="preserve"> Dai dati tutti negativi della semestrale, dal margine di intermediazione  - 23% al margine della gestione finanziaria ed assicurativa – 22,1%; dai crediti in sofferenza passati da 5,1 al 5,8 e gli incagli arrivati al 5% dal 4,2% di 12 mesi prima, al taglio dei dipendenti , passati a 28.473 (con 1.830 lavoratori cacciati), non sembra che   </w:t>
      </w:r>
      <w:proofErr w:type="spellStart"/>
      <w:r>
        <w:t>Mps</w:t>
      </w:r>
      <w:proofErr w:type="spellEnd"/>
      <w:r>
        <w:t xml:space="preserve"> possa essere in grado di invertire la rotta, continuando a retribuire i manager che hanno contribuito al dissesto  come nababbi.</w:t>
      </w:r>
    </w:p>
    <w:p w:rsidR="00D00C62" w:rsidRDefault="00D00C62" w:rsidP="00E26E9B">
      <w:pPr>
        <w:pStyle w:val="Nessunaspaziatura"/>
        <w:ind w:left="0"/>
      </w:pPr>
      <w:r>
        <w:t>   Meglio allora evitare la lunga agonia ed il tentativo di far pagare i costi della crisi a lavoratori, consumatori, risparmiatori con la “conversione immediata dei Monti bond”, che prevede l’acquisto di azioni da parte dello Stato e quindi una nazionalizzazione dell’istituto.</w:t>
      </w:r>
    </w:p>
    <w:p w:rsidR="00D00C62" w:rsidRDefault="00D00C62" w:rsidP="00E26E9B">
      <w:pPr>
        <w:pStyle w:val="Nessunaspaziatura"/>
        <w:ind w:left="0"/>
      </w:pPr>
      <w:r>
        <w:t>                                                               </w:t>
      </w:r>
      <w:r w:rsidR="00DE4AB3">
        <w:t>                      </w:t>
      </w:r>
      <w:bookmarkStart w:id="0" w:name="_GoBack"/>
      <w:bookmarkEnd w:id="0"/>
      <w:r>
        <w:t>            Elio Lannutti (Adusbef)</w:t>
      </w:r>
    </w:p>
    <w:p w:rsidR="00D00C62" w:rsidRDefault="00D00C62" w:rsidP="00E26E9B">
      <w:pPr>
        <w:pStyle w:val="Nessunaspaziatura"/>
        <w:ind w:left="0"/>
      </w:pPr>
      <w:r>
        <w:t>Roma,9.9.2013</w:t>
      </w:r>
    </w:p>
    <w:p w:rsidR="00C200C3" w:rsidRDefault="00C200C3" w:rsidP="00E26E9B"/>
    <w:sectPr w:rsidR="00C200C3" w:rsidSect="00DE4AB3">
      <w:pgSz w:w="11906" w:h="16838"/>
      <w:pgMar w:top="1417" w:right="849"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62"/>
    <w:rsid w:val="00130235"/>
    <w:rsid w:val="001A3C40"/>
    <w:rsid w:val="002E4C34"/>
    <w:rsid w:val="00370059"/>
    <w:rsid w:val="00424BEE"/>
    <w:rsid w:val="004F322C"/>
    <w:rsid w:val="005F3BF0"/>
    <w:rsid w:val="00632BCB"/>
    <w:rsid w:val="007339EC"/>
    <w:rsid w:val="00754201"/>
    <w:rsid w:val="00820BAA"/>
    <w:rsid w:val="00873879"/>
    <w:rsid w:val="0094402A"/>
    <w:rsid w:val="009B4EA1"/>
    <w:rsid w:val="00A42182"/>
    <w:rsid w:val="00B35AE5"/>
    <w:rsid w:val="00B90F78"/>
    <w:rsid w:val="00C200C3"/>
    <w:rsid w:val="00C55771"/>
    <w:rsid w:val="00C76E16"/>
    <w:rsid w:val="00D00C62"/>
    <w:rsid w:val="00D07FAE"/>
    <w:rsid w:val="00D136AC"/>
    <w:rsid w:val="00D709E1"/>
    <w:rsid w:val="00DB5BBF"/>
    <w:rsid w:val="00DE4AB3"/>
    <w:rsid w:val="00E2374E"/>
    <w:rsid w:val="00E26E9B"/>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00C62"/>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0" w:line="240" w:lineRule="auto"/>
      <w:ind w:left="720"/>
      <w:jc w:val="both"/>
    </w:pPr>
    <w:rPr>
      <w:rFonts w:ascii="Century Gothic" w:hAnsi="Century Gothic"/>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00C62"/>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0" w:line="240" w:lineRule="auto"/>
      <w:ind w:left="720"/>
      <w:jc w:val="both"/>
    </w:pPr>
    <w:rPr>
      <w:rFonts w:ascii="Century Gothic" w:hAnsi="Century Gothic"/>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87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2013-09-09T13:20:00Z</dcterms:created>
  <dcterms:modified xsi:type="dcterms:W3CDTF">2013-09-09T13:20:00Z</dcterms:modified>
</cp:coreProperties>
</file>