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1FD" w:rsidRDefault="007B11FD" w:rsidP="007B11FD">
      <w:pPr>
        <w:ind w:left="284"/>
        <w:jc w:val="center"/>
        <w:rPr>
          <w:sz w:val="28"/>
          <w:szCs w:val="28"/>
        </w:rPr>
      </w:pPr>
      <w:r>
        <w:rPr>
          <w:sz w:val="28"/>
          <w:szCs w:val="28"/>
        </w:rPr>
        <w:t>COMUNICATO STAMPA</w:t>
      </w:r>
    </w:p>
    <w:p w:rsidR="007B11FD" w:rsidRDefault="007B11FD" w:rsidP="007B11FD">
      <w:pPr>
        <w:ind w:left="284"/>
        <w:jc w:val="center"/>
        <w:rPr>
          <w:sz w:val="28"/>
          <w:szCs w:val="28"/>
        </w:rPr>
      </w:pPr>
    </w:p>
    <w:p w:rsidR="007B11FD" w:rsidRDefault="007B11FD" w:rsidP="007B11FD">
      <w:pPr>
        <w:ind w:left="284"/>
        <w:jc w:val="center"/>
        <w:rPr>
          <w:sz w:val="28"/>
          <w:szCs w:val="28"/>
        </w:rPr>
      </w:pPr>
      <w:r>
        <w:rPr>
          <w:sz w:val="28"/>
          <w:szCs w:val="28"/>
        </w:rPr>
        <w:t>TASSI: CRESCE IL DIFFERENZIALE SU MUTUI E PRESTITI IN ITALIA.</w:t>
      </w:r>
    </w:p>
    <w:p w:rsidR="007B11FD" w:rsidRDefault="007B11FD" w:rsidP="007B11FD">
      <w:pPr>
        <w:ind w:left="284"/>
        <w:jc w:val="center"/>
        <w:rPr>
          <w:sz w:val="28"/>
          <w:szCs w:val="28"/>
        </w:rPr>
      </w:pPr>
      <w:r>
        <w:rPr>
          <w:sz w:val="28"/>
          <w:szCs w:val="28"/>
        </w:rPr>
        <w:t>PER MUTUO 100MILA EURO A 30 ANNI,GRAVAME DI + 27.360 EURO.</w:t>
      </w:r>
    </w:p>
    <w:p w:rsidR="007B11FD" w:rsidRDefault="007B11FD" w:rsidP="007B11FD">
      <w:pPr>
        <w:ind w:left="284"/>
        <w:jc w:val="center"/>
        <w:rPr>
          <w:sz w:val="28"/>
          <w:szCs w:val="28"/>
        </w:rPr>
      </w:pPr>
      <w:r>
        <w:rPr>
          <w:sz w:val="28"/>
          <w:szCs w:val="28"/>
        </w:rPr>
        <w:t>BANCHE TAGLIEGGIANO LE FAMIGLIE, CON TASSI PIU’ ALTI DI 131 PUNTI.</w:t>
      </w:r>
    </w:p>
    <w:p w:rsidR="007B11FD" w:rsidRDefault="007B11FD" w:rsidP="007B11FD">
      <w:pPr>
        <w:ind w:left="284"/>
        <w:jc w:val="center"/>
        <w:rPr>
          <w:sz w:val="28"/>
          <w:szCs w:val="28"/>
        </w:rPr>
      </w:pPr>
    </w:p>
    <w:p w:rsidR="007B11FD" w:rsidRDefault="007B11FD" w:rsidP="007B11FD">
      <w:pPr>
        <w:ind w:left="284"/>
        <w:rPr>
          <w:sz w:val="28"/>
          <w:szCs w:val="28"/>
        </w:rPr>
      </w:pPr>
    </w:p>
    <w:p w:rsidR="007B11FD" w:rsidRDefault="007B11FD" w:rsidP="007B11FD">
      <w:pPr>
        <w:ind w:left="284"/>
        <w:jc w:val="both"/>
      </w:pPr>
      <w:r>
        <w:t>   Le banche, tra le maggiori artefici della crisi sistemica, specie nel far west dell’Italia, privo di autorità indipendenti in grado di sanzionare comportamenti di saccheggio a danno dei consumatori, attuano una speculazione ignobile su prestiti alla clientela, praticando tassi sui mutui più alti di 131 punti base rispetto alla media Ue.</w:t>
      </w:r>
    </w:p>
    <w:p w:rsidR="007B11FD" w:rsidRDefault="007B11FD" w:rsidP="007B11FD">
      <w:pPr>
        <w:ind w:left="284"/>
        <w:jc w:val="both"/>
      </w:pPr>
      <w:r>
        <w:t xml:space="preserve">   Dai dati elaborati da Adusbef dall’ultimo Bollettino Bce (uscito ieri e riferiti a febbraio), torna a crescere il differenziale di tasso tra mutui e prestiti offerti in Italia e quelli offerti in Eurolandia. Per i mutui, il tasso applicato in Italia è del 4,64% contro il 3,35% della media Ue con un differenziale passato da 119 punti base di dicembre 2012, a 131 di febbraio 2013. Per i prestiti il differenziale è passato da 152 punti base di dicembre ai 183 di febbraio 2013. </w:t>
      </w:r>
    </w:p>
    <w:p w:rsidR="007B11FD" w:rsidRDefault="007B11FD" w:rsidP="007B11FD">
      <w:pPr>
        <w:ind w:left="284"/>
        <w:jc w:val="both"/>
      </w:pPr>
    </w:p>
    <w:p w:rsidR="007B11FD" w:rsidRDefault="007B11FD" w:rsidP="007B11FD">
      <w:pPr>
        <w:jc w:val="center"/>
        <w:rPr>
          <w:b/>
          <w:bCs/>
          <w:sz w:val="20"/>
          <w:szCs w:val="20"/>
        </w:rPr>
      </w:pPr>
    </w:p>
    <w:p w:rsidR="007B11FD" w:rsidRDefault="007B11FD" w:rsidP="007B11FD">
      <w:pPr>
        <w:jc w:val="center"/>
        <w:rPr>
          <w:sz w:val="20"/>
          <w:szCs w:val="20"/>
        </w:rPr>
      </w:pPr>
      <w:r>
        <w:rPr>
          <w:b/>
          <w:bCs/>
          <w:sz w:val="20"/>
          <w:szCs w:val="20"/>
        </w:rPr>
        <w:t xml:space="preserve">DIFFERENZIALE TASSI MEDI BANCARI A FAMIGLIE IN AREA EURO E IN ITALIA </w:t>
      </w:r>
      <w:r>
        <w:rPr>
          <w:sz w:val="20"/>
          <w:szCs w:val="20"/>
        </w:rPr>
        <w:t> </w:t>
      </w:r>
      <w:r>
        <w:rPr>
          <w:b/>
          <w:bCs/>
          <w:sz w:val="20"/>
          <w:szCs w:val="20"/>
        </w:rPr>
        <w:t>SU CREDITO AL CONSUMO</w:t>
      </w:r>
      <w:r>
        <w:rPr>
          <w:sz w:val="20"/>
          <w:szCs w:val="20"/>
        </w:rPr>
        <w:t xml:space="preserve"> (da 1 a 5 anni) </w:t>
      </w:r>
      <w:r>
        <w:rPr>
          <w:b/>
          <w:bCs/>
          <w:sz w:val="20"/>
          <w:szCs w:val="20"/>
        </w:rPr>
        <w:t>e  MUTUI</w:t>
      </w:r>
      <w:r>
        <w:rPr>
          <w:sz w:val="20"/>
          <w:szCs w:val="20"/>
        </w:rPr>
        <w:t xml:space="preserve"> (oltre 10 anni) (Valori percentuali). Fonte Boll.no BCE (5-2013 pag. 42) e </w:t>
      </w:r>
      <w:proofErr w:type="spellStart"/>
      <w:r>
        <w:rPr>
          <w:sz w:val="20"/>
          <w:szCs w:val="20"/>
        </w:rPr>
        <w:t>Suppl</w:t>
      </w:r>
      <w:proofErr w:type="spellEnd"/>
      <w:r>
        <w:rPr>
          <w:sz w:val="20"/>
          <w:szCs w:val="20"/>
        </w:rPr>
        <w:t xml:space="preserve">. </w:t>
      </w:r>
      <w:proofErr w:type="spellStart"/>
      <w:r>
        <w:rPr>
          <w:sz w:val="20"/>
          <w:szCs w:val="20"/>
        </w:rPr>
        <w:t>Boll</w:t>
      </w:r>
      <w:proofErr w:type="spellEnd"/>
      <w:r>
        <w:rPr>
          <w:sz w:val="20"/>
          <w:szCs w:val="20"/>
        </w:rPr>
        <w:t xml:space="preserve">. </w:t>
      </w:r>
      <w:proofErr w:type="spellStart"/>
      <w:r>
        <w:rPr>
          <w:sz w:val="20"/>
          <w:szCs w:val="20"/>
        </w:rPr>
        <w:t>stat</w:t>
      </w:r>
      <w:proofErr w:type="spellEnd"/>
      <w:r>
        <w:rPr>
          <w:sz w:val="20"/>
          <w:szCs w:val="20"/>
        </w:rPr>
        <w:t xml:space="preserve">. </w:t>
      </w:r>
      <w:proofErr w:type="spellStart"/>
      <w:r>
        <w:rPr>
          <w:sz w:val="20"/>
          <w:szCs w:val="20"/>
        </w:rPr>
        <w:t>Bankitalia</w:t>
      </w:r>
      <w:proofErr w:type="spellEnd"/>
      <w:r>
        <w:rPr>
          <w:sz w:val="20"/>
          <w:szCs w:val="20"/>
        </w:rPr>
        <w:t xml:space="preserve"> (Moneta e banche) n° 21 del 9-5-2013 pag. 40.</w:t>
      </w:r>
    </w:p>
    <w:p w:rsidR="007B11FD" w:rsidRDefault="007B11FD" w:rsidP="007B11FD">
      <w:pPr>
        <w:rPr>
          <w:sz w:val="20"/>
          <w:szCs w:val="20"/>
        </w:rPr>
      </w:pPr>
    </w:p>
    <w:tbl>
      <w:tblPr>
        <w:tblW w:w="9667" w:type="dxa"/>
        <w:jc w:val="center"/>
        <w:tblInd w:w="865" w:type="dxa"/>
        <w:tblCellMar>
          <w:left w:w="0" w:type="dxa"/>
          <w:right w:w="0" w:type="dxa"/>
        </w:tblCellMar>
        <w:tblLook w:val="04A0" w:firstRow="1" w:lastRow="0" w:firstColumn="1" w:lastColumn="0" w:noHBand="0" w:noVBand="1"/>
      </w:tblPr>
      <w:tblGrid>
        <w:gridCol w:w="2220"/>
        <w:gridCol w:w="2475"/>
        <w:gridCol w:w="1248"/>
        <w:gridCol w:w="1338"/>
        <w:gridCol w:w="2386"/>
      </w:tblGrid>
      <w:tr w:rsidR="007B11FD" w:rsidTr="007B11FD">
        <w:trPr>
          <w:trHeight w:val="377"/>
          <w:jc w:val="center"/>
        </w:trPr>
        <w:tc>
          <w:tcPr>
            <w:tcW w:w="2220" w:type="dxa"/>
            <w:tcBorders>
              <w:top w:val="single" w:sz="8" w:space="0" w:color="000000"/>
              <w:left w:val="single" w:sz="8" w:space="0" w:color="000000"/>
              <w:bottom w:val="single" w:sz="18" w:space="0" w:color="auto"/>
              <w:right w:val="single" w:sz="8" w:space="0" w:color="000000"/>
            </w:tcBorders>
            <w:shd w:val="clear" w:color="auto" w:fill="C2D69B"/>
            <w:tcMar>
              <w:top w:w="0" w:type="dxa"/>
              <w:left w:w="108" w:type="dxa"/>
              <w:bottom w:w="0" w:type="dxa"/>
              <w:right w:w="108" w:type="dxa"/>
            </w:tcMar>
            <w:vAlign w:val="center"/>
            <w:hideMark/>
          </w:tcPr>
          <w:p w:rsidR="007B11FD" w:rsidRDefault="007B11FD">
            <w:pPr>
              <w:rPr>
                <w:rFonts w:ascii="Century Gothic" w:hAnsi="Century Gothic"/>
                <w:lang w:eastAsia="it-IT"/>
              </w:rPr>
            </w:pPr>
            <w:r>
              <w:rPr>
                <w:rFonts w:ascii="Century Gothic" w:hAnsi="Century Gothic"/>
                <w:b/>
                <w:bCs/>
                <w:lang w:eastAsia="it-IT"/>
              </w:rPr>
              <w:t> </w:t>
            </w:r>
          </w:p>
        </w:tc>
        <w:tc>
          <w:tcPr>
            <w:tcW w:w="2475" w:type="dxa"/>
            <w:tcBorders>
              <w:top w:val="single" w:sz="8" w:space="0" w:color="000000"/>
              <w:left w:val="nil"/>
              <w:bottom w:val="single" w:sz="18" w:space="0" w:color="auto"/>
              <w:right w:val="single" w:sz="8" w:space="0" w:color="000000"/>
            </w:tcBorders>
            <w:shd w:val="clear" w:color="auto" w:fill="C2D69B"/>
            <w:tcMar>
              <w:top w:w="0" w:type="dxa"/>
              <w:left w:w="108" w:type="dxa"/>
              <w:bottom w:w="0" w:type="dxa"/>
              <w:right w:w="108" w:type="dxa"/>
            </w:tcMar>
            <w:hideMark/>
          </w:tcPr>
          <w:p w:rsidR="007B11FD" w:rsidRDefault="007B11FD">
            <w:pPr>
              <w:rPr>
                <w:rFonts w:ascii="Times New Roman" w:eastAsia="Times New Roman" w:hAnsi="Times New Roman"/>
                <w:sz w:val="20"/>
                <w:szCs w:val="20"/>
                <w:lang w:eastAsia="it-IT"/>
              </w:rPr>
            </w:pPr>
          </w:p>
        </w:tc>
        <w:tc>
          <w:tcPr>
            <w:tcW w:w="0" w:type="auto"/>
            <w:tcBorders>
              <w:top w:val="single" w:sz="8" w:space="0" w:color="000000"/>
              <w:left w:val="nil"/>
              <w:bottom w:val="single" w:sz="18" w:space="0" w:color="auto"/>
              <w:right w:val="single" w:sz="8" w:space="0" w:color="000000"/>
            </w:tcBorders>
            <w:shd w:val="clear" w:color="auto" w:fill="C2D69B"/>
            <w:tcMar>
              <w:top w:w="0" w:type="dxa"/>
              <w:left w:w="108" w:type="dxa"/>
              <w:bottom w:w="0" w:type="dxa"/>
              <w:right w:w="108" w:type="dxa"/>
            </w:tcMar>
            <w:hideMark/>
          </w:tcPr>
          <w:p w:rsidR="007B11FD" w:rsidRDefault="007B11FD">
            <w:pPr>
              <w:jc w:val="center"/>
              <w:rPr>
                <w:rFonts w:ascii="Century Gothic" w:hAnsi="Century Gothic"/>
                <w:lang w:eastAsia="it-IT"/>
              </w:rPr>
            </w:pPr>
            <w:r>
              <w:rPr>
                <w:rFonts w:ascii="Century Gothic" w:hAnsi="Century Gothic"/>
                <w:b/>
                <w:bCs/>
                <w:lang w:eastAsia="it-IT"/>
              </w:rPr>
              <w:t>Tassi applicati in Italia</w:t>
            </w:r>
          </w:p>
        </w:tc>
        <w:tc>
          <w:tcPr>
            <w:tcW w:w="1338" w:type="dxa"/>
            <w:tcBorders>
              <w:top w:val="single" w:sz="8" w:space="0" w:color="000000"/>
              <w:left w:val="nil"/>
              <w:bottom w:val="single" w:sz="18" w:space="0" w:color="auto"/>
              <w:right w:val="single" w:sz="8" w:space="0" w:color="000000"/>
            </w:tcBorders>
            <w:shd w:val="clear" w:color="auto" w:fill="C2D69B"/>
            <w:tcMar>
              <w:top w:w="0" w:type="dxa"/>
              <w:left w:w="108" w:type="dxa"/>
              <w:bottom w:w="0" w:type="dxa"/>
              <w:right w:w="108" w:type="dxa"/>
            </w:tcMar>
            <w:hideMark/>
          </w:tcPr>
          <w:p w:rsidR="007B11FD" w:rsidRDefault="007B11FD">
            <w:pPr>
              <w:jc w:val="center"/>
              <w:rPr>
                <w:rFonts w:ascii="Century Gothic" w:hAnsi="Century Gothic"/>
                <w:lang w:eastAsia="it-IT"/>
              </w:rPr>
            </w:pPr>
            <w:r>
              <w:rPr>
                <w:rFonts w:ascii="Century Gothic" w:hAnsi="Century Gothic"/>
                <w:b/>
                <w:bCs/>
                <w:lang w:eastAsia="it-IT"/>
              </w:rPr>
              <w:t xml:space="preserve">Tassi applicati in </w:t>
            </w:r>
          </w:p>
          <w:p w:rsidR="007B11FD" w:rsidRDefault="007B11FD">
            <w:pPr>
              <w:jc w:val="center"/>
              <w:rPr>
                <w:rFonts w:ascii="Century Gothic" w:hAnsi="Century Gothic"/>
                <w:lang w:eastAsia="it-IT"/>
              </w:rPr>
            </w:pPr>
            <w:r>
              <w:rPr>
                <w:rFonts w:ascii="Century Gothic" w:hAnsi="Century Gothic"/>
                <w:b/>
                <w:bCs/>
                <w:lang w:eastAsia="it-IT"/>
              </w:rPr>
              <w:t>Area euro</w:t>
            </w:r>
          </w:p>
        </w:tc>
        <w:tc>
          <w:tcPr>
            <w:tcW w:w="2386" w:type="dxa"/>
            <w:tcBorders>
              <w:top w:val="single" w:sz="8" w:space="0" w:color="000000"/>
              <w:left w:val="nil"/>
              <w:bottom w:val="single" w:sz="18" w:space="0" w:color="auto"/>
              <w:right w:val="single" w:sz="8" w:space="0" w:color="000000"/>
            </w:tcBorders>
            <w:shd w:val="clear" w:color="auto" w:fill="DAEEF3"/>
            <w:tcMar>
              <w:top w:w="0" w:type="dxa"/>
              <w:left w:w="108" w:type="dxa"/>
              <w:bottom w:w="0" w:type="dxa"/>
              <w:right w:w="108" w:type="dxa"/>
            </w:tcMar>
            <w:hideMark/>
          </w:tcPr>
          <w:p w:rsidR="007B11FD" w:rsidRDefault="007B11FD">
            <w:pPr>
              <w:jc w:val="center"/>
              <w:rPr>
                <w:rFonts w:ascii="Century Gothic" w:hAnsi="Century Gothic"/>
                <w:lang w:eastAsia="it-IT"/>
              </w:rPr>
            </w:pPr>
            <w:r>
              <w:rPr>
                <w:rFonts w:ascii="Century Gothic" w:hAnsi="Century Gothic"/>
                <w:b/>
                <w:bCs/>
                <w:lang w:eastAsia="it-IT"/>
              </w:rPr>
              <w:t xml:space="preserve">Differenziale </w:t>
            </w:r>
          </w:p>
          <w:p w:rsidR="007B11FD" w:rsidRDefault="007B11FD">
            <w:pPr>
              <w:jc w:val="center"/>
              <w:rPr>
                <w:rFonts w:ascii="Century Gothic" w:hAnsi="Century Gothic"/>
                <w:lang w:eastAsia="it-IT"/>
              </w:rPr>
            </w:pPr>
            <w:r>
              <w:rPr>
                <w:rFonts w:ascii="Century Gothic" w:hAnsi="Century Gothic"/>
                <w:b/>
                <w:bCs/>
                <w:lang w:eastAsia="it-IT"/>
              </w:rPr>
              <w:t>Italia-Eurolandia espresso in punti base</w:t>
            </w:r>
          </w:p>
        </w:tc>
      </w:tr>
      <w:tr w:rsidR="007B11FD" w:rsidTr="007B11FD">
        <w:trPr>
          <w:trHeight w:val="270"/>
          <w:jc w:val="center"/>
        </w:trPr>
        <w:tc>
          <w:tcPr>
            <w:tcW w:w="2220" w:type="dxa"/>
            <w:tcBorders>
              <w:top w:val="nil"/>
              <w:left w:val="single" w:sz="8" w:space="0" w:color="000000"/>
              <w:bottom w:val="single" w:sz="8" w:space="0" w:color="000000"/>
              <w:right w:val="single" w:sz="8" w:space="0" w:color="000000"/>
            </w:tcBorders>
            <w:shd w:val="clear" w:color="auto" w:fill="C2D69B"/>
            <w:tcMar>
              <w:top w:w="0" w:type="dxa"/>
              <w:left w:w="108" w:type="dxa"/>
              <w:bottom w:w="0" w:type="dxa"/>
              <w:right w:w="108" w:type="dxa"/>
            </w:tcMar>
            <w:vAlign w:val="center"/>
            <w:hideMark/>
          </w:tcPr>
          <w:p w:rsidR="007B11FD" w:rsidRDefault="007B11FD">
            <w:pPr>
              <w:spacing w:before="100" w:beforeAutospacing="1" w:after="100" w:afterAutospacing="1"/>
              <w:rPr>
                <w:rFonts w:ascii="Century Gothic" w:hAnsi="Century Gothic"/>
                <w:lang w:eastAsia="it-IT"/>
              </w:rPr>
            </w:pPr>
            <w:r>
              <w:rPr>
                <w:rFonts w:ascii="Century Gothic" w:hAnsi="Century Gothic"/>
                <w:b/>
                <w:bCs/>
                <w:lang w:eastAsia="it-IT"/>
              </w:rPr>
              <w:t>Gennaio 2010</w:t>
            </w:r>
          </w:p>
        </w:tc>
        <w:tc>
          <w:tcPr>
            <w:tcW w:w="24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Credito al consumo</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8,39</w:t>
            </w:r>
          </w:p>
        </w:tc>
        <w:tc>
          <w:tcPr>
            <w:tcW w:w="13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6,43</w:t>
            </w:r>
          </w:p>
        </w:tc>
        <w:tc>
          <w:tcPr>
            <w:tcW w:w="23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ind w:right="272"/>
              <w:jc w:val="right"/>
              <w:rPr>
                <w:rFonts w:ascii="Century Gothic" w:hAnsi="Century Gothic"/>
                <w:lang w:eastAsia="it-IT"/>
              </w:rPr>
            </w:pPr>
            <w:r>
              <w:rPr>
                <w:rFonts w:ascii="Century Gothic" w:hAnsi="Century Gothic"/>
                <w:b/>
                <w:bCs/>
                <w:lang w:eastAsia="it-IT"/>
              </w:rPr>
              <w:t>+ 196</w:t>
            </w:r>
          </w:p>
        </w:tc>
      </w:tr>
      <w:tr w:rsidR="007B11FD" w:rsidTr="007B11FD">
        <w:trPr>
          <w:trHeight w:val="270"/>
          <w:jc w:val="center"/>
        </w:trPr>
        <w:tc>
          <w:tcPr>
            <w:tcW w:w="2220" w:type="dxa"/>
            <w:tcBorders>
              <w:top w:val="nil"/>
              <w:left w:val="single" w:sz="8" w:space="0" w:color="000000"/>
              <w:bottom w:val="single" w:sz="18" w:space="0" w:color="auto"/>
              <w:right w:val="single" w:sz="8" w:space="0" w:color="000000"/>
            </w:tcBorders>
            <w:shd w:val="clear" w:color="auto" w:fill="C2D69B"/>
            <w:tcMar>
              <w:top w:w="0" w:type="dxa"/>
              <w:left w:w="108" w:type="dxa"/>
              <w:bottom w:w="0" w:type="dxa"/>
              <w:right w:w="108" w:type="dxa"/>
            </w:tcMar>
            <w:vAlign w:val="center"/>
            <w:hideMark/>
          </w:tcPr>
          <w:p w:rsidR="007B11FD" w:rsidRDefault="007B11FD">
            <w:pPr>
              <w:rPr>
                <w:rFonts w:ascii="Times New Roman" w:eastAsia="Times New Roman" w:hAnsi="Times New Roman"/>
                <w:sz w:val="20"/>
                <w:szCs w:val="20"/>
                <w:lang w:eastAsia="it-IT"/>
              </w:rPr>
            </w:pPr>
          </w:p>
        </w:tc>
        <w:tc>
          <w:tcPr>
            <w:tcW w:w="2475" w:type="dxa"/>
            <w:tcBorders>
              <w:top w:val="nil"/>
              <w:left w:val="nil"/>
              <w:bottom w:val="single" w:sz="18" w:space="0" w:color="auto"/>
              <w:right w:val="single" w:sz="8" w:space="0" w:color="000000"/>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Mutui</w:t>
            </w:r>
          </w:p>
        </w:tc>
        <w:tc>
          <w:tcPr>
            <w:tcW w:w="0" w:type="auto"/>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4,92</w:t>
            </w:r>
          </w:p>
        </w:tc>
        <w:tc>
          <w:tcPr>
            <w:tcW w:w="1338" w:type="dxa"/>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4,26</w:t>
            </w:r>
          </w:p>
        </w:tc>
        <w:tc>
          <w:tcPr>
            <w:tcW w:w="2386" w:type="dxa"/>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ind w:right="272"/>
              <w:jc w:val="right"/>
              <w:rPr>
                <w:rFonts w:ascii="Century Gothic" w:hAnsi="Century Gothic"/>
                <w:lang w:eastAsia="it-IT"/>
              </w:rPr>
            </w:pPr>
            <w:r>
              <w:rPr>
                <w:rFonts w:ascii="Century Gothic" w:hAnsi="Century Gothic"/>
                <w:b/>
                <w:bCs/>
                <w:lang w:eastAsia="it-IT"/>
              </w:rPr>
              <w:t>+ 66</w:t>
            </w:r>
          </w:p>
        </w:tc>
      </w:tr>
      <w:tr w:rsidR="007B11FD" w:rsidTr="007B11FD">
        <w:trPr>
          <w:trHeight w:val="270"/>
          <w:jc w:val="center"/>
        </w:trPr>
        <w:tc>
          <w:tcPr>
            <w:tcW w:w="2220" w:type="dxa"/>
            <w:tcBorders>
              <w:top w:val="nil"/>
              <w:left w:val="single" w:sz="8" w:space="0" w:color="000000"/>
              <w:bottom w:val="single" w:sz="8" w:space="0" w:color="000000"/>
              <w:right w:val="single" w:sz="8" w:space="0" w:color="000000"/>
            </w:tcBorders>
            <w:shd w:val="clear" w:color="auto" w:fill="C2D69B"/>
            <w:tcMar>
              <w:top w:w="0" w:type="dxa"/>
              <w:left w:w="108" w:type="dxa"/>
              <w:bottom w:w="0" w:type="dxa"/>
              <w:right w:w="108" w:type="dxa"/>
            </w:tcMar>
            <w:vAlign w:val="center"/>
            <w:hideMark/>
          </w:tcPr>
          <w:p w:rsidR="007B11FD" w:rsidRDefault="007B11FD">
            <w:pPr>
              <w:spacing w:before="100" w:beforeAutospacing="1" w:after="100" w:afterAutospacing="1"/>
              <w:rPr>
                <w:rFonts w:ascii="Century Gothic" w:hAnsi="Century Gothic"/>
                <w:lang w:eastAsia="it-IT"/>
              </w:rPr>
            </w:pPr>
            <w:r>
              <w:rPr>
                <w:rFonts w:ascii="Century Gothic" w:hAnsi="Century Gothic"/>
                <w:b/>
                <w:bCs/>
                <w:lang w:eastAsia="it-IT"/>
              </w:rPr>
              <w:t>Luglio 2010</w:t>
            </w:r>
          </w:p>
        </w:tc>
        <w:tc>
          <w:tcPr>
            <w:tcW w:w="24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Credito al consumo</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7,01</w:t>
            </w:r>
          </w:p>
        </w:tc>
        <w:tc>
          <w:tcPr>
            <w:tcW w:w="13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6,21</w:t>
            </w:r>
          </w:p>
        </w:tc>
        <w:tc>
          <w:tcPr>
            <w:tcW w:w="23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ind w:right="272"/>
              <w:jc w:val="right"/>
              <w:rPr>
                <w:rFonts w:ascii="Century Gothic" w:hAnsi="Century Gothic"/>
                <w:lang w:eastAsia="it-IT"/>
              </w:rPr>
            </w:pPr>
            <w:r>
              <w:rPr>
                <w:rFonts w:ascii="Century Gothic" w:hAnsi="Century Gothic"/>
                <w:b/>
                <w:bCs/>
                <w:lang w:eastAsia="it-IT"/>
              </w:rPr>
              <w:t>+ 80</w:t>
            </w:r>
          </w:p>
        </w:tc>
      </w:tr>
      <w:tr w:rsidR="007B11FD" w:rsidTr="007B11FD">
        <w:trPr>
          <w:trHeight w:val="270"/>
          <w:jc w:val="center"/>
        </w:trPr>
        <w:tc>
          <w:tcPr>
            <w:tcW w:w="2220" w:type="dxa"/>
            <w:tcBorders>
              <w:top w:val="nil"/>
              <w:left w:val="single" w:sz="8" w:space="0" w:color="000000"/>
              <w:bottom w:val="single" w:sz="18" w:space="0" w:color="auto"/>
              <w:right w:val="single" w:sz="8" w:space="0" w:color="000000"/>
            </w:tcBorders>
            <w:shd w:val="clear" w:color="auto" w:fill="C2D69B"/>
            <w:tcMar>
              <w:top w:w="0" w:type="dxa"/>
              <w:left w:w="108" w:type="dxa"/>
              <w:bottom w:w="0" w:type="dxa"/>
              <w:right w:w="108" w:type="dxa"/>
            </w:tcMar>
            <w:vAlign w:val="center"/>
            <w:hideMark/>
          </w:tcPr>
          <w:p w:rsidR="007B11FD" w:rsidRDefault="007B11FD">
            <w:pPr>
              <w:rPr>
                <w:rFonts w:ascii="Times New Roman" w:eastAsia="Times New Roman" w:hAnsi="Times New Roman"/>
                <w:sz w:val="20"/>
                <w:szCs w:val="20"/>
                <w:lang w:eastAsia="it-IT"/>
              </w:rPr>
            </w:pPr>
          </w:p>
        </w:tc>
        <w:tc>
          <w:tcPr>
            <w:tcW w:w="2475" w:type="dxa"/>
            <w:tcBorders>
              <w:top w:val="nil"/>
              <w:left w:val="nil"/>
              <w:bottom w:val="single" w:sz="18" w:space="0" w:color="auto"/>
              <w:right w:val="single" w:sz="8" w:space="0" w:color="000000"/>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Mutui</w:t>
            </w:r>
          </w:p>
        </w:tc>
        <w:tc>
          <w:tcPr>
            <w:tcW w:w="0" w:type="auto"/>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4,40</w:t>
            </w:r>
          </w:p>
        </w:tc>
        <w:tc>
          <w:tcPr>
            <w:tcW w:w="1338" w:type="dxa"/>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3,84</w:t>
            </w:r>
          </w:p>
        </w:tc>
        <w:tc>
          <w:tcPr>
            <w:tcW w:w="2386" w:type="dxa"/>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ind w:right="272"/>
              <w:jc w:val="right"/>
              <w:rPr>
                <w:rFonts w:ascii="Century Gothic" w:hAnsi="Century Gothic"/>
                <w:lang w:eastAsia="it-IT"/>
              </w:rPr>
            </w:pPr>
            <w:r>
              <w:rPr>
                <w:rFonts w:ascii="Century Gothic" w:hAnsi="Century Gothic"/>
                <w:b/>
                <w:bCs/>
                <w:lang w:eastAsia="it-IT"/>
              </w:rPr>
              <w:t>+ 56</w:t>
            </w:r>
          </w:p>
        </w:tc>
      </w:tr>
      <w:tr w:rsidR="007B11FD" w:rsidTr="007B11FD">
        <w:trPr>
          <w:trHeight w:val="270"/>
          <w:jc w:val="center"/>
        </w:trPr>
        <w:tc>
          <w:tcPr>
            <w:tcW w:w="2220" w:type="dxa"/>
            <w:tcBorders>
              <w:top w:val="nil"/>
              <w:left w:val="single" w:sz="8" w:space="0" w:color="000000"/>
              <w:bottom w:val="single" w:sz="8" w:space="0" w:color="000000"/>
              <w:right w:val="single" w:sz="8" w:space="0" w:color="000000"/>
            </w:tcBorders>
            <w:shd w:val="clear" w:color="auto" w:fill="C2D69B"/>
            <w:tcMar>
              <w:top w:w="0" w:type="dxa"/>
              <w:left w:w="108" w:type="dxa"/>
              <w:bottom w:w="0" w:type="dxa"/>
              <w:right w:w="108" w:type="dxa"/>
            </w:tcMar>
            <w:vAlign w:val="center"/>
            <w:hideMark/>
          </w:tcPr>
          <w:p w:rsidR="007B11FD" w:rsidRDefault="007B11FD">
            <w:pPr>
              <w:spacing w:before="100" w:beforeAutospacing="1" w:after="100" w:afterAutospacing="1"/>
              <w:rPr>
                <w:rFonts w:ascii="Century Gothic" w:hAnsi="Century Gothic"/>
                <w:lang w:eastAsia="it-IT"/>
              </w:rPr>
            </w:pPr>
            <w:r>
              <w:rPr>
                <w:rFonts w:ascii="Century Gothic" w:hAnsi="Century Gothic"/>
                <w:b/>
                <w:bCs/>
                <w:lang w:eastAsia="it-IT"/>
              </w:rPr>
              <w:t>Gennaio 2011</w:t>
            </w:r>
          </w:p>
        </w:tc>
        <w:tc>
          <w:tcPr>
            <w:tcW w:w="24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Credito al consumo</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6,99</w:t>
            </w:r>
          </w:p>
        </w:tc>
        <w:tc>
          <w:tcPr>
            <w:tcW w:w="13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6,13</w:t>
            </w:r>
          </w:p>
        </w:tc>
        <w:tc>
          <w:tcPr>
            <w:tcW w:w="23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ind w:right="272"/>
              <w:jc w:val="right"/>
              <w:rPr>
                <w:rFonts w:ascii="Century Gothic" w:hAnsi="Century Gothic"/>
                <w:lang w:eastAsia="it-IT"/>
              </w:rPr>
            </w:pPr>
            <w:r>
              <w:rPr>
                <w:rFonts w:ascii="Century Gothic" w:hAnsi="Century Gothic"/>
                <w:b/>
                <w:bCs/>
                <w:lang w:eastAsia="it-IT"/>
              </w:rPr>
              <w:t>+ 86</w:t>
            </w:r>
          </w:p>
        </w:tc>
      </w:tr>
      <w:tr w:rsidR="007B11FD" w:rsidTr="007B11FD">
        <w:trPr>
          <w:trHeight w:val="270"/>
          <w:jc w:val="center"/>
        </w:trPr>
        <w:tc>
          <w:tcPr>
            <w:tcW w:w="2220" w:type="dxa"/>
            <w:tcBorders>
              <w:top w:val="nil"/>
              <w:left w:val="single" w:sz="8" w:space="0" w:color="000000"/>
              <w:bottom w:val="single" w:sz="18" w:space="0" w:color="auto"/>
              <w:right w:val="single" w:sz="8" w:space="0" w:color="000000"/>
            </w:tcBorders>
            <w:shd w:val="clear" w:color="auto" w:fill="C2D69B"/>
            <w:tcMar>
              <w:top w:w="0" w:type="dxa"/>
              <w:left w:w="108" w:type="dxa"/>
              <w:bottom w:w="0" w:type="dxa"/>
              <w:right w:w="108" w:type="dxa"/>
            </w:tcMar>
            <w:vAlign w:val="center"/>
            <w:hideMark/>
          </w:tcPr>
          <w:p w:rsidR="007B11FD" w:rsidRDefault="007B11FD">
            <w:pPr>
              <w:rPr>
                <w:rFonts w:ascii="Times New Roman" w:eastAsia="Times New Roman" w:hAnsi="Times New Roman"/>
                <w:sz w:val="20"/>
                <w:szCs w:val="20"/>
                <w:lang w:eastAsia="it-IT"/>
              </w:rPr>
            </w:pPr>
          </w:p>
        </w:tc>
        <w:tc>
          <w:tcPr>
            <w:tcW w:w="2475" w:type="dxa"/>
            <w:tcBorders>
              <w:top w:val="nil"/>
              <w:left w:val="nil"/>
              <w:bottom w:val="single" w:sz="18" w:space="0" w:color="auto"/>
              <w:right w:val="single" w:sz="8" w:space="0" w:color="000000"/>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Mutui</w:t>
            </w:r>
          </w:p>
        </w:tc>
        <w:tc>
          <w:tcPr>
            <w:tcW w:w="0" w:type="auto"/>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4,22</w:t>
            </w:r>
          </w:p>
        </w:tc>
        <w:tc>
          <w:tcPr>
            <w:tcW w:w="1338" w:type="dxa"/>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3,86</w:t>
            </w:r>
          </w:p>
        </w:tc>
        <w:tc>
          <w:tcPr>
            <w:tcW w:w="2386" w:type="dxa"/>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ind w:right="272"/>
              <w:jc w:val="right"/>
              <w:rPr>
                <w:rFonts w:ascii="Century Gothic" w:hAnsi="Century Gothic"/>
                <w:lang w:eastAsia="it-IT"/>
              </w:rPr>
            </w:pPr>
            <w:r>
              <w:rPr>
                <w:rFonts w:ascii="Century Gothic" w:hAnsi="Century Gothic"/>
                <w:b/>
                <w:bCs/>
                <w:lang w:eastAsia="it-IT"/>
              </w:rPr>
              <w:t>+ 36</w:t>
            </w:r>
          </w:p>
        </w:tc>
      </w:tr>
      <w:tr w:rsidR="007B11FD" w:rsidTr="007B11FD">
        <w:trPr>
          <w:trHeight w:val="270"/>
          <w:jc w:val="center"/>
        </w:trPr>
        <w:tc>
          <w:tcPr>
            <w:tcW w:w="2220" w:type="dxa"/>
            <w:tcBorders>
              <w:top w:val="nil"/>
              <w:left w:val="single" w:sz="8" w:space="0" w:color="000000"/>
              <w:bottom w:val="single" w:sz="8" w:space="0" w:color="000000"/>
              <w:right w:val="single" w:sz="8" w:space="0" w:color="000000"/>
            </w:tcBorders>
            <w:shd w:val="clear" w:color="auto" w:fill="C2D69B"/>
            <w:tcMar>
              <w:top w:w="0" w:type="dxa"/>
              <w:left w:w="108" w:type="dxa"/>
              <w:bottom w:w="0" w:type="dxa"/>
              <w:right w:w="108" w:type="dxa"/>
            </w:tcMar>
            <w:vAlign w:val="center"/>
            <w:hideMark/>
          </w:tcPr>
          <w:p w:rsidR="007B11FD" w:rsidRDefault="007B11FD">
            <w:pPr>
              <w:spacing w:before="100" w:beforeAutospacing="1" w:after="100" w:afterAutospacing="1"/>
              <w:rPr>
                <w:rFonts w:ascii="Century Gothic" w:hAnsi="Century Gothic"/>
                <w:lang w:eastAsia="it-IT"/>
              </w:rPr>
            </w:pPr>
            <w:r>
              <w:rPr>
                <w:rFonts w:ascii="Century Gothic" w:hAnsi="Century Gothic"/>
                <w:b/>
                <w:bCs/>
                <w:lang w:eastAsia="it-IT"/>
              </w:rPr>
              <w:t>Luglio 2011</w:t>
            </w:r>
          </w:p>
        </w:tc>
        <w:tc>
          <w:tcPr>
            <w:tcW w:w="24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Credito al consumo</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7,64</w:t>
            </w:r>
          </w:p>
        </w:tc>
        <w:tc>
          <w:tcPr>
            <w:tcW w:w="13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6,53</w:t>
            </w:r>
          </w:p>
        </w:tc>
        <w:tc>
          <w:tcPr>
            <w:tcW w:w="23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ind w:right="272"/>
              <w:jc w:val="right"/>
              <w:rPr>
                <w:rFonts w:ascii="Century Gothic" w:hAnsi="Century Gothic"/>
                <w:lang w:eastAsia="it-IT"/>
              </w:rPr>
            </w:pPr>
            <w:r>
              <w:rPr>
                <w:rFonts w:ascii="Century Gothic" w:hAnsi="Century Gothic"/>
                <w:b/>
                <w:bCs/>
                <w:lang w:eastAsia="it-IT"/>
              </w:rPr>
              <w:t>+ 111</w:t>
            </w:r>
          </w:p>
        </w:tc>
      </w:tr>
      <w:tr w:rsidR="007B11FD" w:rsidTr="007B11FD">
        <w:trPr>
          <w:trHeight w:val="270"/>
          <w:jc w:val="center"/>
        </w:trPr>
        <w:tc>
          <w:tcPr>
            <w:tcW w:w="2220" w:type="dxa"/>
            <w:tcBorders>
              <w:top w:val="nil"/>
              <w:left w:val="single" w:sz="8" w:space="0" w:color="000000"/>
              <w:bottom w:val="single" w:sz="18" w:space="0" w:color="auto"/>
              <w:right w:val="single" w:sz="8" w:space="0" w:color="000000"/>
            </w:tcBorders>
            <w:shd w:val="clear" w:color="auto" w:fill="C2D69B"/>
            <w:tcMar>
              <w:top w:w="0" w:type="dxa"/>
              <w:left w:w="108" w:type="dxa"/>
              <w:bottom w:w="0" w:type="dxa"/>
              <w:right w:w="108" w:type="dxa"/>
            </w:tcMar>
            <w:vAlign w:val="center"/>
            <w:hideMark/>
          </w:tcPr>
          <w:p w:rsidR="007B11FD" w:rsidRDefault="007B11FD">
            <w:pPr>
              <w:rPr>
                <w:rFonts w:ascii="Times New Roman" w:eastAsia="Times New Roman" w:hAnsi="Times New Roman"/>
                <w:sz w:val="20"/>
                <w:szCs w:val="20"/>
                <w:lang w:eastAsia="it-IT"/>
              </w:rPr>
            </w:pPr>
          </w:p>
        </w:tc>
        <w:tc>
          <w:tcPr>
            <w:tcW w:w="2475" w:type="dxa"/>
            <w:tcBorders>
              <w:top w:val="nil"/>
              <w:left w:val="nil"/>
              <w:bottom w:val="single" w:sz="18" w:space="0" w:color="auto"/>
              <w:right w:val="single" w:sz="8" w:space="0" w:color="000000"/>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Mutui</w:t>
            </w:r>
          </w:p>
        </w:tc>
        <w:tc>
          <w:tcPr>
            <w:tcW w:w="0" w:type="auto"/>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4,78</w:t>
            </w:r>
          </w:p>
        </w:tc>
        <w:tc>
          <w:tcPr>
            <w:tcW w:w="1338" w:type="dxa"/>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4,19</w:t>
            </w:r>
          </w:p>
        </w:tc>
        <w:tc>
          <w:tcPr>
            <w:tcW w:w="2386" w:type="dxa"/>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ind w:right="272"/>
              <w:jc w:val="right"/>
              <w:rPr>
                <w:rFonts w:ascii="Century Gothic" w:hAnsi="Century Gothic"/>
                <w:lang w:eastAsia="it-IT"/>
              </w:rPr>
            </w:pPr>
            <w:r>
              <w:rPr>
                <w:rFonts w:ascii="Century Gothic" w:hAnsi="Century Gothic"/>
                <w:b/>
                <w:bCs/>
                <w:lang w:eastAsia="it-IT"/>
              </w:rPr>
              <w:t>+ 59</w:t>
            </w:r>
          </w:p>
        </w:tc>
      </w:tr>
      <w:tr w:rsidR="007B11FD" w:rsidTr="007B11FD">
        <w:trPr>
          <w:trHeight w:val="270"/>
          <w:jc w:val="center"/>
        </w:trPr>
        <w:tc>
          <w:tcPr>
            <w:tcW w:w="2220" w:type="dxa"/>
            <w:tcBorders>
              <w:top w:val="nil"/>
              <w:left w:val="single" w:sz="8" w:space="0" w:color="000000"/>
              <w:bottom w:val="single" w:sz="12" w:space="0" w:color="auto"/>
              <w:right w:val="single" w:sz="8" w:space="0" w:color="000000"/>
            </w:tcBorders>
            <w:shd w:val="clear" w:color="auto" w:fill="C2D69B"/>
            <w:tcMar>
              <w:top w:w="0" w:type="dxa"/>
              <w:left w:w="108" w:type="dxa"/>
              <w:bottom w:w="0" w:type="dxa"/>
              <w:right w:w="108" w:type="dxa"/>
            </w:tcMar>
            <w:vAlign w:val="center"/>
            <w:hideMark/>
          </w:tcPr>
          <w:p w:rsidR="007B11FD" w:rsidRDefault="007B11FD">
            <w:pPr>
              <w:spacing w:before="100" w:beforeAutospacing="1" w:after="100" w:afterAutospacing="1"/>
              <w:rPr>
                <w:rFonts w:ascii="Century Gothic" w:hAnsi="Century Gothic"/>
                <w:lang w:eastAsia="it-IT"/>
              </w:rPr>
            </w:pPr>
            <w:r>
              <w:rPr>
                <w:rFonts w:ascii="Century Gothic" w:hAnsi="Century Gothic"/>
                <w:b/>
                <w:bCs/>
                <w:lang w:eastAsia="it-IT"/>
              </w:rPr>
              <w:t>Febbraio 2012</w:t>
            </w:r>
          </w:p>
        </w:tc>
        <w:tc>
          <w:tcPr>
            <w:tcW w:w="2475" w:type="dxa"/>
            <w:tcBorders>
              <w:top w:val="nil"/>
              <w:left w:val="nil"/>
              <w:bottom w:val="single" w:sz="12" w:space="0" w:color="auto"/>
              <w:right w:val="single" w:sz="8" w:space="0" w:color="000000"/>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Credito al consumo</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7,99</w:t>
            </w:r>
          </w:p>
        </w:tc>
        <w:tc>
          <w:tcPr>
            <w:tcW w:w="13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6,58</w:t>
            </w:r>
          </w:p>
        </w:tc>
        <w:tc>
          <w:tcPr>
            <w:tcW w:w="23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ind w:right="272"/>
              <w:jc w:val="right"/>
              <w:rPr>
                <w:rFonts w:ascii="Century Gothic" w:hAnsi="Century Gothic"/>
                <w:lang w:eastAsia="it-IT"/>
              </w:rPr>
            </w:pPr>
            <w:r>
              <w:rPr>
                <w:rFonts w:ascii="Century Gothic" w:hAnsi="Century Gothic"/>
                <w:b/>
                <w:bCs/>
                <w:lang w:eastAsia="it-IT"/>
              </w:rPr>
              <w:t xml:space="preserve">+ 141 </w:t>
            </w:r>
          </w:p>
        </w:tc>
      </w:tr>
      <w:tr w:rsidR="007B11FD" w:rsidTr="007B11FD">
        <w:trPr>
          <w:trHeight w:val="270"/>
          <w:jc w:val="center"/>
        </w:trPr>
        <w:tc>
          <w:tcPr>
            <w:tcW w:w="2220" w:type="dxa"/>
            <w:tcBorders>
              <w:top w:val="nil"/>
              <w:left w:val="single" w:sz="8" w:space="0" w:color="000000"/>
              <w:bottom w:val="single" w:sz="12" w:space="0" w:color="auto"/>
              <w:right w:val="single" w:sz="8" w:space="0" w:color="000000"/>
            </w:tcBorders>
            <w:shd w:val="clear" w:color="auto" w:fill="C2D69B"/>
            <w:tcMar>
              <w:top w:w="0" w:type="dxa"/>
              <w:left w:w="108" w:type="dxa"/>
              <w:bottom w:w="0" w:type="dxa"/>
              <w:right w:w="108" w:type="dxa"/>
            </w:tcMar>
            <w:vAlign w:val="center"/>
            <w:hideMark/>
          </w:tcPr>
          <w:p w:rsidR="007B11FD" w:rsidRDefault="007B11FD">
            <w:pPr>
              <w:spacing w:before="100" w:beforeAutospacing="1" w:after="100" w:afterAutospacing="1"/>
              <w:rPr>
                <w:rFonts w:ascii="Century Gothic" w:hAnsi="Century Gothic"/>
                <w:lang w:eastAsia="it-IT"/>
              </w:rPr>
            </w:pPr>
            <w:r>
              <w:rPr>
                <w:rFonts w:ascii="Century Gothic" w:hAnsi="Century Gothic"/>
                <w:b/>
                <w:bCs/>
                <w:lang w:eastAsia="it-IT"/>
              </w:rPr>
              <w:t> </w:t>
            </w:r>
          </w:p>
        </w:tc>
        <w:tc>
          <w:tcPr>
            <w:tcW w:w="2475" w:type="dxa"/>
            <w:tcBorders>
              <w:top w:val="nil"/>
              <w:left w:val="nil"/>
              <w:bottom w:val="single" w:sz="18" w:space="0" w:color="auto"/>
              <w:right w:val="single" w:sz="8" w:space="0" w:color="000000"/>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Mutui</w:t>
            </w:r>
          </w:p>
        </w:tc>
        <w:tc>
          <w:tcPr>
            <w:tcW w:w="0" w:type="auto"/>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5,15</w:t>
            </w:r>
          </w:p>
        </w:tc>
        <w:tc>
          <w:tcPr>
            <w:tcW w:w="1338" w:type="dxa"/>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3,95</w:t>
            </w:r>
          </w:p>
        </w:tc>
        <w:tc>
          <w:tcPr>
            <w:tcW w:w="2386" w:type="dxa"/>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ind w:right="272"/>
              <w:jc w:val="right"/>
              <w:rPr>
                <w:rFonts w:ascii="Century Gothic" w:hAnsi="Century Gothic"/>
                <w:lang w:eastAsia="it-IT"/>
              </w:rPr>
            </w:pPr>
            <w:r>
              <w:rPr>
                <w:rFonts w:ascii="Century Gothic" w:hAnsi="Century Gothic"/>
                <w:b/>
                <w:bCs/>
                <w:lang w:eastAsia="it-IT"/>
              </w:rPr>
              <w:t xml:space="preserve">+ 120 </w:t>
            </w:r>
          </w:p>
        </w:tc>
      </w:tr>
      <w:tr w:rsidR="007B11FD" w:rsidTr="007B11FD">
        <w:trPr>
          <w:trHeight w:val="270"/>
          <w:jc w:val="center"/>
        </w:trPr>
        <w:tc>
          <w:tcPr>
            <w:tcW w:w="2220" w:type="dxa"/>
            <w:tcBorders>
              <w:top w:val="nil"/>
              <w:left w:val="single" w:sz="8" w:space="0" w:color="000000"/>
              <w:bottom w:val="single" w:sz="8" w:space="0" w:color="000000"/>
              <w:right w:val="single" w:sz="8" w:space="0" w:color="000000"/>
            </w:tcBorders>
            <w:shd w:val="clear" w:color="auto" w:fill="C2D69B"/>
            <w:tcMar>
              <w:top w:w="0" w:type="dxa"/>
              <w:left w:w="108" w:type="dxa"/>
              <w:bottom w:w="0" w:type="dxa"/>
              <w:right w:w="108" w:type="dxa"/>
            </w:tcMar>
            <w:vAlign w:val="center"/>
            <w:hideMark/>
          </w:tcPr>
          <w:p w:rsidR="007B11FD" w:rsidRDefault="007B11FD">
            <w:pPr>
              <w:spacing w:before="100" w:beforeAutospacing="1" w:after="100" w:afterAutospacing="1"/>
              <w:rPr>
                <w:rFonts w:ascii="Century Gothic" w:hAnsi="Century Gothic"/>
                <w:lang w:eastAsia="it-IT"/>
              </w:rPr>
            </w:pPr>
            <w:r>
              <w:rPr>
                <w:rFonts w:ascii="Century Gothic" w:hAnsi="Century Gothic"/>
                <w:b/>
                <w:bCs/>
                <w:lang w:eastAsia="it-IT"/>
              </w:rPr>
              <w:t>Luglio 2012</w:t>
            </w:r>
          </w:p>
        </w:tc>
        <w:tc>
          <w:tcPr>
            <w:tcW w:w="24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Credito al consumo</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8,08</w:t>
            </w:r>
          </w:p>
        </w:tc>
        <w:tc>
          <w:tcPr>
            <w:tcW w:w="13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6,26</w:t>
            </w:r>
          </w:p>
        </w:tc>
        <w:tc>
          <w:tcPr>
            <w:tcW w:w="23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ind w:right="272"/>
              <w:jc w:val="right"/>
              <w:rPr>
                <w:rFonts w:ascii="Century Gothic" w:hAnsi="Century Gothic"/>
                <w:lang w:eastAsia="it-IT"/>
              </w:rPr>
            </w:pPr>
            <w:r>
              <w:rPr>
                <w:rFonts w:ascii="Century Gothic" w:hAnsi="Century Gothic"/>
                <w:b/>
                <w:bCs/>
                <w:lang w:eastAsia="it-IT"/>
              </w:rPr>
              <w:t xml:space="preserve">+ 182 </w:t>
            </w:r>
          </w:p>
        </w:tc>
      </w:tr>
      <w:tr w:rsidR="007B11FD" w:rsidTr="007B11FD">
        <w:trPr>
          <w:trHeight w:val="270"/>
          <w:jc w:val="center"/>
        </w:trPr>
        <w:tc>
          <w:tcPr>
            <w:tcW w:w="2220" w:type="dxa"/>
            <w:tcBorders>
              <w:top w:val="nil"/>
              <w:left w:val="single" w:sz="8" w:space="0" w:color="000000"/>
              <w:bottom w:val="single" w:sz="12" w:space="0" w:color="auto"/>
              <w:right w:val="single" w:sz="8" w:space="0" w:color="000000"/>
            </w:tcBorders>
            <w:shd w:val="clear" w:color="auto" w:fill="C2D69B"/>
            <w:tcMar>
              <w:top w:w="0" w:type="dxa"/>
              <w:left w:w="108" w:type="dxa"/>
              <w:bottom w:w="0" w:type="dxa"/>
              <w:right w:w="108" w:type="dxa"/>
            </w:tcMar>
            <w:vAlign w:val="center"/>
            <w:hideMark/>
          </w:tcPr>
          <w:p w:rsidR="007B11FD" w:rsidRDefault="007B11FD">
            <w:pPr>
              <w:spacing w:before="100" w:beforeAutospacing="1" w:after="100" w:afterAutospacing="1"/>
              <w:rPr>
                <w:rFonts w:ascii="Century Gothic" w:hAnsi="Century Gothic"/>
                <w:lang w:eastAsia="it-IT"/>
              </w:rPr>
            </w:pPr>
            <w:r>
              <w:rPr>
                <w:rFonts w:ascii="Century Gothic" w:hAnsi="Century Gothic"/>
                <w:b/>
                <w:bCs/>
                <w:lang w:eastAsia="it-IT"/>
              </w:rPr>
              <w:t> </w:t>
            </w:r>
          </w:p>
        </w:tc>
        <w:tc>
          <w:tcPr>
            <w:tcW w:w="2475" w:type="dxa"/>
            <w:tcBorders>
              <w:top w:val="nil"/>
              <w:left w:val="nil"/>
              <w:bottom w:val="single" w:sz="18" w:space="0" w:color="auto"/>
              <w:right w:val="single" w:sz="8" w:space="0" w:color="000000"/>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Mutui</w:t>
            </w:r>
          </w:p>
        </w:tc>
        <w:tc>
          <w:tcPr>
            <w:tcW w:w="0" w:type="auto"/>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4,86</w:t>
            </w:r>
          </w:p>
        </w:tc>
        <w:tc>
          <w:tcPr>
            <w:tcW w:w="1338"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3,62</w:t>
            </w:r>
          </w:p>
        </w:tc>
        <w:tc>
          <w:tcPr>
            <w:tcW w:w="2386"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ind w:right="272"/>
              <w:jc w:val="right"/>
              <w:rPr>
                <w:rFonts w:ascii="Century Gothic" w:hAnsi="Century Gothic"/>
                <w:lang w:eastAsia="it-IT"/>
              </w:rPr>
            </w:pPr>
            <w:r>
              <w:rPr>
                <w:rFonts w:ascii="Century Gothic" w:hAnsi="Century Gothic"/>
                <w:b/>
                <w:bCs/>
                <w:lang w:eastAsia="it-IT"/>
              </w:rPr>
              <w:t xml:space="preserve">+ 124 </w:t>
            </w:r>
          </w:p>
        </w:tc>
      </w:tr>
      <w:tr w:rsidR="007B11FD" w:rsidTr="007B11FD">
        <w:trPr>
          <w:trHeight w:val="270"/>
          <w:jc w:val="center"/>
        </w:trPr>
        <w:tc>
          <w:tcPr>
            <w:tcW w:w="2220" w:type="dxa"/>
            <w:tcBorders>
              <w:top w:val="nil"/>
              <w:left w:val="single" w:sz="8" w:space="0" w:color="000000"/>
              <w:bottom w:val="single" w:sz="8" w:space="0" w:color="000000"/>
              <w:right w:val="single" w:sz="8" w:space="0" w:color="000000"/>
            </w:tcBorders>
            <w:shd w:val="clear" w:color="auto" w:fill="C2D69B"/>
            <w:tcMar>
              <w:top w:w="0" w:type="dxa"/>
              <w:left w:w="108" w:type="dxa"/>
              <w:bottom w:w="0" w:type="dxa"/>
              <w:right w:w="108" w:type="dxa"/>
            </w:tcMar>
            <w:vAlign w:val="center"/>
            <w:hideMark/>
          </w:tcPr>
          <w:p w:rsidR="007B11FD" w:rsidRDefault="007B11FD">
            <w:pPr>
              <w:rPr>
                <w:rFonts w:ascii="Century Gothic" w:hAnsi="Century Gothic"/>
                <w:b/>
                <w:bCs/>
              </w:rPr>
            </w:pPr>
            <w:r>
              <w:rPr>
                <w:rFonts w:ascii="Century Gothic" w:hAnsi="Century Gothic"/>
                <w:b/>
                <w:bCs/>
              </w:rPr>
              <w:t>Dicembre 2012</w:t>
            </w:r>
          </w:p>
        </w:tc>
        <w:tc>
          <w:tcPr>
            <w:tcW w:w="24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Credito al consumo</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11FD" w:rsidRDefault="007B11FD">
            <w:pPr>
              <w:spacing w:before="100" w:beforeAutospacing="1" w:after="100" w:afterAutospacing="1"/>
              <w:jc w:val="right"/>
              <w:rPr>
                <w:rFonts w:ascii="Century Gothic" w:hAnsi="Century Gothic"/>
              </w:rPr>
            </w:pPr>
            <w:r>
              <w:rPr>
                <w:rFonts w:ascii="Century Gothic" w:hAnsi="Century Gothic"/>
              </w:rPr>
              <w:t>7,56</w:t>
            </w:r>
          </w:p>
        </w:tc>
        <w:tc>
          <w:tcPr>
            <w:tcW w:w="13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11FD" w:rsidRDefault="007B11FD">
            <w:pPr>
              <w:spacing w:before="100" w:beforeAutospacing="1" w:after="100" w:afterAutospacing="1"/>
              <w:jc w:val="right"/>
              <w:rPr>
                <w:rFonts w:ascii="Century Gothic" w:hAnsi="Century Gothic"/>
              </w:rPr>
            </w:pPr>
            <w:r>
              <w:rPr>
                <w:rFonts w:ascii="Century Gothic" w:hAnsi="Century Gothic"/>
              </w:rPr>
              <w:t>6,04</w:t>
            </w:r>
          </w:p>
        </w:tc>
        <w:tc>
          <w:tcPr>
            <w:tcW w:w="23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11FD" w:rsidRDefault="007B11FD">
            <w:pPr>
              <w:spacing w:before="100" w:beforeAutospacing="1" w:after="100" w:afterAutospacing="1"/>
              <w:ind w:right="272"/>
              <w:jc w:val="right"/>
              <w:rPr>
                <w:rFonts w:ascii="Century Gothic" w:hAnsi="Century Gothic"/>
                <w:b/>
                <w:bCs/>
                <w:lang w:eastAsia="it-IT"/>
              </w:rPr>
            </w:pPr>
            <w:r>
              <w:rPr>
                <w:rFonts w:ascii="Century Gothic" w:hAnsi="Century Gothic"/>
                <w:b/>
                <w:bCs/>
                <w:lang w:eastAsia="it-IT"/>
              </w:rPr>
              <w:t>+ 152</w:t>
            </w:r>
          </w:p>
        </w:tc>
      </w:tr>
      <w:tr w:rsidR="007B11FD" w:rsidTr="007B11FD">
        <w:trPr>
          <w:trHeight w:val="270"/>
          <w:jc w:val="center"/>
        </w:trPr>
        <w:tc>
          <w:tcPr>
            <w:tcW w:w="2220" w:type="dxa"/>
            <w:tcBorders>
              <w:top w:val="nil"/>
              <w:left w:val="single" w:sz="8" w:space="0" w:color="000000"/>
              <w:bottom w:val="single" w:sz="12" w:space="0" w:color="auto"/>
              <w:right w:val="single" w:sz="8" w:space="0" w:color="000000"/>
            </w:tcBorders>
            <w:shd w:val="clear" w:color="auto" w:fill="C2D69B"/>
            <w:tcMar>
              <w:top w:w="0" w:type="dxa"/>
              <w:left w:w="108" w:type="dxa"/>
              <w:bottom w:w="0" w:type="dxa"/>
              <w:right w:w="108" w:type="dxa"/>
            </w:tcMar>
            <w:vAlign w:val="center"/>
          </w:tcPr>
          <w:p w:rsidR="007B11FD" w:rsidRDefault="007B11FD">
            <w:pPr>
              <w:rPr>
                <w:rFonts w:ascii="Century Gothic" w:hAnsi="Century Gothic"/>
                <w:b/>
                <w:bCs/>
              </w:rPr>
            </w:pPr>
          </w:p>
        </w:tc>
        <w:tc>
          <w:tcPr>
            <w:tcW w:w="2475" w:type="dxa"/>
            <w:tcBorders>
              <w:top w:val="nil"/>
              <w:left w:val="nil"/>
              <w:bottom w:val="single" w:sz="12" w:space="0" w:color="auto"/>
              <w:right w:val="single" w:sz="8" w:space="0" w:color="000000"/>
            </w:tcBorders>
            <w:shd w:val="clear" w:color="auto" w:fill="FFFFFF"/>
            <w:tcMar>
              <w:top w:w="0" w:type="dxa"/>
              <w:left w:w="108" w:type="dxa"/>
              <w:bottom w:w="0" w:type="dxa"/>
              <w:right w:w="108" w:type="dxa"/>
            </w:tcMar>
            <w:vAlign w:val="center"/>
            <w:hideMark/>
          </w:tcPr>
          <w:p w:rsidR="007B11FD" w:rsidRDefault="007B11FD">
            <w:pPr>
              <w:spacing w:before="100" w:beforeAutospacing="1" w:after="100" w:afterAutospacing="1"/>
              <w:jc w:val="right"/>
              <w:rPr>
                <w:rFonts w:ascii="Century Gothic" w:hAnsi="Century Gothic"/>
                <w:lang w:eastAsia="it-IT"/>
              </w:rPr>
            </w:pPr>
            <w:r>
              <w:rPr>
                <w:rFonts w:ascii="Century Gothic" w:hAnsi="Century Gothic"/>
                <w:lang w:eastAsia="it-IT"/>
              </w:rPr>
              <w:t>Mutui</w:t>
            </w:r>
          </w:p>
        </w:tc>
        <w:tc>
          <w:tcPr>
            <w:tcW w:w="0" w:type="auto"/>
            <w:tcBorders>
              <w:top w:val="nil"/>
              <w:left w:val="nil"/>
              <w:bottom w:val="single" w:sz="12" w:space="0" w:color="auto"/>
              <w:right w:val="single" w:sz="8" w:space="0" w:color="auto"/>
            </w:tcBorders>
            <w:shd w:val="clear" w:color="auto" w:fill="FFFFFF"/>
            <w:tcMar>
              <w:top w:w="0" w:type="dxa"/>
              <w:left w:w="108" w:type="dxa"/>
              <w:bottom w:w="0" w:type="dxa"/>
              <w:right w:w="108" w:type="dxa"/>
            </w:tcMar>
            <w:hideMark/>
          </w:tcPr>
          <w:p w:rsidR="007B11FD" w:rsidRDefault="007B11FD">
            <w:pPr>
              <w:spacing w:before="100" w:beforeAutospacing="1" w:after="100" w:afterAutospacing="1"/>
              <w:jc w:val="right"/>
              <w:rPr>
                <w:rFonts w:ascii="Century Gothic" w:hAnsi="Century Gothic"/>
              </w:rPr>
            </w:pPr>
            <w:r>
              <w:rPr>
                <w:rFonts w:ascii="Century Gothic" w:hAnsi="Century Gothic"/>
              </w:rPr>
              <w:t>4,64</w:t>
            </w:r>
          </w:p>
        </w:tc>
        <w:tc>
          <w:tcPr>
            <w:tcW w:w="1338"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hideMark/>
          </w:tcPr>
          <w:p w:rsidR="007B11FD" w:rsidRDefault="007B11FD">
            <w:pPr>
              <w:spacing w:before="100" w:beforeAutospacing="1" w:after="100" w:afterAutospacing="1"/>
              <w:jc w:val="right"/>
              <w:rPr>
                <w:rFonts w:ascii="Century Gothic" w:hAnsi="Century Gothic"/>
              </w:rPr>
            </w:pPr>
            <w:r>
              <w:rPr>
                <w:rFonts w:ascii="Century Gothic" w:hAnsi="Century Gothic"/>
              </w:rPr>
              <w:t>3,45</w:t>
            </w:r>
          </w:p>
        </w:tc>
        <w:tc>
          <w:tcPr>
            <w:tcW w:w="2386"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hideMark/>
          </w:tcPr>
          <w:p w:rsidR="007B11FD" w:rsidRDefault="007B11FD">
            <w:pPr>
              <w:spacing w:before="100" w:beforeAutospacing="1" w:after="100" w:afterAutospacing="1"/>
              <w:ind w:right="272"/>
              <w:jc w:val="right"/>
              <w:rPr>
                <w:rFonts w:ascii="Century Gothic" w:hAnsi="Century Gothic"/>
                <w:b/>
                <w:bCs/>
                <w:lang w:eastAsia="it-IT"/>
              </w:rPr>
            </w:pPr>
            <w:r>
              <w:rPr>
                <w:rFonts w:ascii="Century Gothic" w:hAnsi="Century Gothic"/>
                <w:b/>
                <w:bCs/>
                <w:lang w:eastAsia="it-IT"/>
              </w:rPr>
              <w:t>+ 119</w:t>
            </w:r>
          </w:p>
        </w:tc>
      </w:tr>
      <w:tr w:rsidR="007B11FD" w:rsidTr="007B11FD">
        <w:trPr>
          <w:trHeight w:val="270"/>
          <w:jc w:val="center"/>
        </w:trPr>
        <w:tc>
          <w:tcPr>
            <w:tcW w:w="2220" w:type="dxa"/>
            <w:tcBorders>
              <w:top w:val="nil"/>
              <w:left w:val="single" w:sz="8" w:space="0" w:color="000000"/>
              <w:bottom w:val="single" w:sz="12" w:space="0" w:color="auto"/>
              <w:right w:val="single" w:sz="8" w:space="0" w:color="000000"/>
            </w:tcBorders>
            <w:shd w:val="clear" w:color="auto" w:fill="FFFFFF"/>
            <w:tcMar>
              <w:top w:w="0" w:type="dxa"/>
              <w:left w:w="108" w:type="dxa"/>
              <w:bottom w:w="0" w:type="dxa"/>
              <w:right w:w="108" w:type="dxa"/>
            </w:tcMar>
            <w:vAlign w:val="center"/>
          </w:tcPr>
          <w:p w:rsidR="007B11FD" w:rsidRDefault="007B11FD">
            <w:pPr>
              <w:rPr>
                <w:rFonts w:ascii="Century Gothic" w:hAnsi="Century Gothic"/>
                <w:b/>
                <w:bCs/>
              </w:rPr>
            </w:pPr>
          </w:p>
        </w:tc>
        <w:tc>
          <w:tcPr>
            <w:tcW w:w="2475" w:type="dxa"/>
            <w:tcBorders>
              <w:top w:val="nil"/>
              <w:left w:val="nil"/>
              <w:bottom w:val="single" w:sz="12" w:space="0" w:color="auto"/>
              <w:right w:val="single" w:sz="8" w:space="0" w:color="000000"/>
            </w:tcBorders>
            <w:shd w:val="clear" w:color="auto" w:fill="FFFFFF"/>
            <w:tcMar>
              <w:top w:w="0" w:type="dxa"/>
              <w:left w:w="108" w:type="dxa"/>
              <w:bottom w:w="0" w:type="dxa"/>
              <w:right w:w="108" w:type="dxa"/>
            </w:tcMar>
            <w:vAlign w:val="center"/>
          </w:tcPr>
          <w:p w:rsidR="007B11FD" w:rsidRDefault="007B11FD">
            <w:pPr>
              <w:jc w:val="right"/>
              <w:rPr>
                <w:rFonts w:ascii="Century Gothic" w:hAnsi="Century Gothic"/>
              </w:rPr>
            </w:pPr>
          </w:p>
        </w:tc>
        <w:tc>
          <w:tcPr>
            <w:tcW w:w="0" w:type="auto"/>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tcPr>
          <w:p w:rsidR="007B11FD" w:rsidRDefault="007B11FD">
            <w:pPr>
              <w:jc w:val="right"/>
              <w:rPr>
                <w:rFonts w:ascii="Century Gothic" w:hAnsi="Century Gothic"/>
              </w:rPr>
            </w:pPr>
          </w:p>
        </w:tc>
        <w:tc>
          <w:tcPr>
            <w:tcW w:w="1338"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tcPr>
          <w:p w:rsidR="007B11FD" w:rsidRDefault="007B11FD">
            <w:pPr>
              <w:jc w:val="right"/>
              <w:rPr>
                <w:rFonts w:ascii="Century Gothic" w:hAnsi="Century Gothic"/>
              </w:rPr>
            </w:pPr>
          </w:p>
        </w:tc>
        <w:tc>
          <w:tcPr>
            <w:tcW w:w="2386"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tcPr>
          <w:p w:rsidR="007B11FD" w:rsidRDefault="007B11FD">
            <w:pPr>
              <w:ind w:right="272"/>
              <w:jc w:val="right"/>
              <w:rPr>
                <w:rFonts w:ascii="Century Gothic" w:hAnsi="Century Gothic"/>
                <w:b/>
                <w:bCs/>
              </w:rPr>
            </w:pPr>
          </w:p>
        </w:tc>
      </w:tr>
      <w:tr w:rsidR="007B11FD" w:rsidTr="007B11FD">
        <w:trPr>
          <w:trHeight w:val="270"/>
          <w:jc w:val="center"/>
        </w:trPr>
        <w:tc>
          <w:tcPr>
            <w:tcW w:w="2220" w:type="dxa"/>
            <w:tcBorders>
              <w:top w:val="nil"/>
              <w:left w:val="single" w:sz="8" w:space="0" w:color="000000"/>
              <w:bottom w:val="single" w:sz="8" w:space="0" w:color="000000"/>
              <w:right w:val="single" w:sz="8" w:space="0" w:color="000000"/>
            </w:tcBorders>
            <w:shd w:val="clear" w:color="auto" w:fill="FDE9D9"/>
            <w:tcMar>
              <w:top w:w="0" w:type="dxa"/>
              <w:left w:w="108" w:type="dxa"/>
              <w:bottom w:w="0" w:type="dxa"/>
              <w:right w:w="108" w:type="dxa"/>
            </w:tcMar>
            <w:vAlign w:val="center"/>
            <w:hideMark/>
          </w:tcPr>
          <w:p w:rsidR="007B11FD" w:rsidRDefault="007B11FD">
            <w:pPr>
              <w:rPr>
                <w:rFonts w:ascii="Century Gothic" w:hAnsi="Century Gothic"/>
                <w:b/>
                <w:bCs/>
              </w:rPr>
            </w:pPr>
            <w:r>
              <w:rPr>
                <w:rFonts w:ascii="Century Gothic" w:hAnsi="Century Gothic"/>
                <w:b/>
                <w:bCs/>
              </w:rPr>
              <w:t>Febbraio 2013</w:t>
            </w:r>
          </w:p>
        </w:tc>
        <w:tc>
          <w:tcPr>
            <w:tcW w:w="2475" w:type="dxa"/>
            <w:tcBorders>
              <w:top w:val="nil"/>
              <w:left w:val="nil"/>
              <w:bottom w:val="single" w:sz="8" w:space="0" w:color="000000"/>
              <w:right w:val="single" w:sz="8" w:space="0" w:color="000000"/>
            </w:tcBorders>
            <w:shd w:val="clear" w:color="auto" w:fill="FDE9D9"/>
            <w:tcMar>
              <w:top w:w="0" w:type="dxa"/>
              <w:left w:w="108" w:type="dxa"/>
              <w:bottom w:w="0" w:type="dxa"/>
              <w:right w:w="108" w:type="dxa"/>
            </w:tcMar>
            <w:vAlign w:val="center"/>
            <w:hideMark/>
          </w:tcPr>
          <w:p w:rsidR="007B11FD" w:rsidRDefault="007B11FD">
            <w:pPr>
              <w:jc w:val="right"/>
              <w:rPr>
                <w:rFonts w:ascii="Century Gothic" w:hAnsi="Century Gothic"/>
              </w:rPr>
            </w:pPr>
            <w:r>
              <w:rPr>
                <w:rFonts w:ascii="Century Gothic" w:hAnsi="Century Gothic"/>
              </w:rPr>
              <w:t>Credito al consumo</w:t>
            </w:r>
          </w:p>
        </w:tc>
        <w:tc>
          <w:tcPr>
            <w:tcW w:w="0" w:type="auto"/>
            <w:tcBorders>
              <w:top w:val="nil"/>
              <w:left w:val="nil"/>
              <w:bottom w:val="single" w:sz="8" w:space="0" w:color="auto"/>
              <w:right w:val="single" w:sz="8" w:space="0" w:color="auto"/>
            </w:tcBorders>
            <w:shd w:val="clear" w:color="auto" w:fill="FDE9D9"/>
            <w:tcMar>
              <w:top w:w="0" w:type="dxa"/>
              <w:left w:w="108" w:type="dxa"/>
              <w:bottom w:w="0" w:type="dxa"/>
              <w:right w:w="108" w:type="dxa"/>
            </w:tcMar>
            <w:vAlign w:val="center"/>
            <w:hideMark/>
          </w:tcPr>
          <w:p w:rsidR="007B11FD" w:rsidRDefault="007B11FD">
            <w:pPr>
              <w:jc w:val="right"/>
              <w:rPr>
                <w:rFonts w:ascii="Century Gothic" w:hAnsi="Century Gothic"/>
              </w:rPr>
            </w:pPr>
            <w:r>
              <w:rPr>
                <w:rFonts w:ascii="Century Gothic" w:hAnsi="Century Gothic"/>
              </w:rPr>
              <w:t>7,86</w:t>
            </w:r>
          </w:p>
        </w:tc>
        <w:tc>
          <w:tcPr>
            <w:tcW w:w="1338" w:type="dxa"/>
            <w:tcBorders>
              <w:top w:val="nil"/>
              <w:left w:val="nil"/>
              <w:bottom w:val="single" w:sz="8" w:space="0" w:color="auto"/>
              <w:right w:val="single" w:sz="8" w:space="0" w:color="auto"/>
            </w:tcBorders>
            <w:shd w:val="clear" w:color="auto" w:fill="FDE9D9"/>
            <w:tcMar>
              <w:top w:w="0" w:type="dxa"/>
              <w:left w:w="108" w:type="dxa"/>
              <w:bottom w:w="0" w:type="dxa"/>
              <w:right w:w="108" w:type="dxa"/>
            </w:tcMar>
            <w:vAlign w:val="center"/>
            <w:hideMark/>
          </w:tcPr>
          <w:p w:rsidR="007B11FD" w:rsidRDefault="007B11FD">
            <w:pPr>
              <w:jc w:val="right"/>
              <w:rPr>
                <w:rFonts w:ascii="Century Gothic" w:hAnsi="Century Gothic"/>
              </w:rPr>
            </w:pPr>
            <w:r>
              <w:rPr>
                <w:rFonts w:ascii="Century Gothic" w:hAnsi="Century Gothic"/>
              </w:rPr>
              <w:t>6,03</w:t>
            </w:r>
          </w:p>
        </w:tc>
        <w:tc>
          <w:tcPr>
            <w:tcW w:w="2386" w:type="dxa"/>
            <w:tcBorders>
              <w:top w:val="nil"/>
              <w:left w:val="nil"/>
              <w:bottom w:val="single" w:sz="8" w:space="0" w:color="auto"/>
              <w:right w:val="single" w:sz="8" w:space="0" w:color="auto"/>
            </w:tcBorders>
            <w:shd w:val="clear" w:color="auto" w:fill="FDE9D9"/>
            <w:tcMar>
              <w:top w:w="0" w:type="dxa"/>
              <w:left w:w="108" w:type="dxa"/>
              <w:bottom w:w="0" w:type="dxa"/>
              <w:right w:w="108" w:type="dxa"/>
            </w:tcMar>
            <w:vAlign w:val="center"/>
            <w:hideMark/>
          </w:tcPr>
          <w:p w:rsidR="007B11FD" w:rsidRDefault="007B11FD">
            <w:pPr>
              <w:ind w:right="272"/>
              <w:jc w:val="right"/>
              <w:rPr>
                <w:rFonts w:ascii="Century Gothic" w:hAnsi="Century Gothic"/>
                <w:b/>
                <w:bCs/>
              </w:rPr>
            </w:pPr>
            <w:r>
              <w:rPr>
                <w:rFonts w:ascii="Century Gothic" w:hAnsi="Century Gothic"/>
                <w:b/>
                <w:bCs/>
              </w:rPr>
              <w:t xml:space="preserve">+ 183 </w:t>
            </w:r>
          </w:p>
        </w:tc>
      </w:tr>
      <w:tr w:rsidR="007B11FD" w:rsidTr="007B11FD">
        <w:trPr>
          <w:trHeight w:val="270"/>
          <w:jc w:val="center"/>
        </w:trPr>
        <w:tc>
          <w:tcPr>
            <w:tcW w:w="2220" w:type="dxa"/>
            <w:tcBorders>
              <w:top w:val="nil"/>
              <w:left w:val="single" w:sz="8" w:space="0" w:color="000000"/>
              <w:bottom w:val="single" w:sz="8" w:space="0" w:color="000000"/>
              <w:right w:val="single" w:sz="8" w:space="0" w:color="000000"/>
            </w:tcBorders>
            <w:shd w:val="clear" w:color="auto" w:fill="FDE9D9"/>
            <w:tcMar>
              <w:top w:w="0" w:type="dxa"/>
              <w:left w:w="108" w:type="dxa"/>
              <w:bottom w:w="0" w:type="dxa"/>
              <w:right w:w="108" w:type="dxa"/>
            </w:tcMar>
            <w:vAlign w:val="center"/>
          </w:tcPr>
          <w:p w:rsidR="007B11FD" w:rsidRDefault="007B11FD">
            <w:pPr>
              <w:rPr>
                <w:rFonts w:ascii="Century Gothic" w:hAnsi="Century Gothic"/>
              </w:rPr>
            </w:pPr>
          </w:p>
        </w:tc>
        <w:tc>
          <w:tcPr>
            <w:tcW w:w="2475" w:type="dxa"/>
            <w:tcBorders>
              <w:top w:val="nil"/>
              <w:left w:val="nil"/>
              <w:bottom w:val="single" w:sz="8" w:space="0" w:color="000000"/>
              <w:right w:val="single" w:sz="8" w:space="0" w:color="000000"/>
            </w:tcBorders>
            <w:shd w:val="clear" w:color="auto" w:fill="FDE9D9"/>
            <w:tcMar>
              <w:top w:w="0" w:type="dxa"/>
              <w:left w:w="108" w:type="dxa"/>
              <w:bottom w:w="0" w:type="dxa"/>
              <w:right w:w="108" w:type="dxa"/>
            </w:tcMar>
            <w:vAlign w:val="center"/>
            <w:hideMark/>
          </w:tcPr>
          <w:p w:rsidR="007B11FD" w:rsidRDefault="007B11FD">
            <w:pPr>
              <w:jc w:val="right"/>
              <w:rPr>
                <w:rFonts w:ascii="Century Gothic" w:hAnsi="Century Gothic"/>
              </w:rPr>
            </w:pPr>
            <w:r>
              <w:rPr>
                <w:rFonts w:ascii="Century Gothic" w:hAnsi="Century Gothic"/>
              </w:rPr>
              <w:t>Mutui</w:t>
            </w:r>
          </w:p>
        </w:tc>
        <w:tc>
          <w:tcPr>
            <w:tcW w:w="0" w:type="auto"/>
            <w:tcBorders>
              <w:top w:val="nil"/>
              <w:left w:val="nil"/>
              <w:bottom w:val="single" w:sz="8" w:space="0" w:color="auto"/>
              <w:right w:val="single" w:sz="8" w:space="0" w:color="auto"/>
            </w:tcBorders>
            <w:shd w:val="clear" w:color="auto" w:fill="FDE9D9"/>
            <w:tcMar>
              <w:top w:w="0" w:type="dxa"/>
              <w:left w:w="108" w:type="dxa"/>
              <w:bottom w:w="0" w:type="dxa"/>
              <w:right w:w="108" w:type="dxa"/>
            </w:tcMar>
            <w:vAlign w:val="center"/>
            <w:hideMark/>
          </w:tcPr>
          <w:p w:rsidR="007B11FD" w:rsidRDefault="007B11FD">
            <w:pPr>
              <w:jc w:val="right"/>
              <w:rPr>
                <w:rFonts w:ascii="Century Gothic" w:hAnsi="Century Gothic"/>
              </w:rPr>
            </w:pPr>
            <w:r>
              <w:rPr>
                <w:rFonts w:ascii="Century Gothic" w:hAnsi="Century Gothic"/>
              </w:rPr>
              <w:t>4,66</w:t>
            </w:r>
          </w:p>
        </w:tc>
        <w:tc>
          <w:tcPr>
            <w:tcW w:w="1338" w:type="dxa"/>
            <w:tcBorders>
              <w:top w:val="nil"/>
              <w:left w:val="nil"/>
              <w:bottom w:val="single" w:sz="8" w:space="0" w:color="auto"/>
              <w:right w:val="single" w:sz="8" w:space="0" w:color="auto"/>
            </w:tcBorders>
            <w:shd w:val="clear" w:color="auto" w:fill="FDE9D9"/>
            <w:tcMar>
              <w:top w:w="0" w:type="dxa"/>
              <w:left w:w="108" w:type="dxa"/>
              <w:bottom w:w="0" w:type="dxa"/>
              <w:right w:w="108" w:type="dxa"/>
            </w:tcMar>
            <w:vAlign w:val="center"/>
            <w:hideMark/>
          </w:tcPr>
          <w:p w:rsidR="007B11FD" w:rsidRDefault="007B11FD">
            <w:pPr>
              <w:jc w:val="right"/>
              <w:rPr>
                <w:rFonts w:ascii="Century Gothic" w:hAnsi="Century Gothic"/>
              </w:rPr>
            </w:pPr>
            <w:r>
              <w:rPr>
                <w:rFonts w:ascii="Century Gothic" w:hAnsi="Century Gothic"/>
              </w:rPr>
              <w:t>3,35</w:t>
            </w:r>
          </w:p>
        </w:tc>
        <w:tc>
          <w:tcPr>
            <w:tcW w:w="2386" w:type="dxa"/>
            <w:tcBorders>
              <w:top w:val="nil"/>
              <w:left w:val="nil"/>
              <w:bottom w:val="single" w:sz="8" w:space="0" w:color="auto"/>
              <w:right w:val="single" w:sz="8" w:space="0" w:color="auto"/>
            </w:tcBorders>
            <w:shd w:val="clear" w:color="auto" w:fill="FDE9D9"/>
            <w:tcMar>
              <w:top w:w="0" w:type="dxa"/>
              <w:left w:w="108" w:type="dxa"/>
              <w:bottom w:w="0" w:type="dxa"/>
              <w:right w:w="108" w:type="dxa"/>
            </w:tcMar>
            <w:vAlign w:val="center"/>
            <w:hideMark/>
          </w:tcPr>
          <w:p w:rsidR="007B11FD" w:rsidRDefault="007B11FD">
            <w:pPr>
              <w:ind w:right="272"/>
              <w:jc w:val="right"/>
              <w:rPr>
                <w:rFonts w:ascii="Century Gothic" w:hAnsi="Century Gothic"/>
                <w:b/>
                <w:bCs/>
              </w:rPr>
            </w:pPr>
            <w:r>
              <w:rPr>
                <w:rFonts w:ascii="Century Gothic" w:hAnsi="Century Gothic"/>
                <w:b/>
                <w:bCs/>
              </w:rPr>
              <w:t>+ 131</w:t>
            </w:r>
          </w:p>
        </w:tc>
      </w:tr>
    </w:tbl>
    <w:p w:rsidR="007B11FD" w:rsidRDefault="007B11FD" w:rsidP="007B11FD">
      <w:pPr>
        <w:jc w:val="both"/>
      </w:pPr>
    </w:p>
    <w:p w:rsidR="007B11FD" w:rsidRDefault="007B11FD" w:rsidP="007B11FD">
      <w:pPr>
        <w:jc w:val="both"/>
      </w:pPr>
    </w:p>
    <w:p w:rsidR="007B11FD" w:rsidRDefault="007B11FD" w:rsidP="007B11FD">
      <w:pPr>
        <w:jc w:val="both"/>
      </w:pPr>
    </w:p>
    <w:p w:rsidR="007B11FD" w:rsidRDefault="007B11FD" w:rsidP="007B11FD">
      <w:pPr>
        <w:jc w:val="both"/>
      </w:pPr>
      <w:r>
        <w:t>Possiamo calcolare la ripercussione di questo differenziale sull’entità delle rate. Abbiamo ipotizzato mutui da 100.000 euro a 30 e a 20 anni:</w:t>
      </w:r>
    </w:p>
    <w:p w:rsidR="007B11FD" w:rsidRDefault="007B11FD" w:rsidP="007B11FD">
      <w:pPr>
        <w:jc w:val="both"/>
      </w:pPr>
    </w:p>
    <w:p w:rsidR="007B11FD" w:rsidRDefault="007B11FD" w:rsidP="007B11FD">
      <w:pPr>
        <w:jc w:val="both"/>
      </w:pPr>
    </w:p>
    <w:p w:rsidR="007B11FD" w:rsidRDefault="007B11FD" w:rsidP="007B11FD">
      <w:pPr>
        <w:jc w:val="both"/>
      </w:pPr>
    </w:p>
    <w:p w:rsidR="007B11FD" w:rsidRDefault="007B11FD" w:rsidP="007B11FD">
      <w:pPr>
        <w:jc w:val="both"/>
      </w:pPr>
    </w:p>
    <w:p w:rsidR="007B11FD" w:rsidRDefault="007B11FD" w:rsidP="007B11FD">
      <w:pPr>
        <w:jc w:val="both"/>
      </w:pPr>
    </w:p>
    <w:tbl>
      <w:tblPr>
        <w:tblW w:w="0" w:type="auto"/>
        <w:tblCellMar>
          <w:left w:w="0" w:type="dxa"/>
          <w:right w:w="0" w:type="dxa"/>
        </w:tblCellMar>
        <w:tblLook w:val="04A0" w:firstRow="1" w:lastRow="0" w:firstColumn="1" w:lastColumn="0" w:noHBand="0" w:noVBand="1"/>
      </w:tblPr>
      <w:tblGrid>
        <w:gridCol w:w="2288"/>
        <w:gridCol w:w="2382"/>
        <w:gridCol w:w="2242"/>
        <w:gridCol w:w="2942"/>
      </w:tblGrid>
      <w:tr w:rsidR="007B11FD" w:rsidTr="007B11FD">
        <w:trPr>
          <w:trHeight w:val="551"/>
        </w:trPr>
        <w:tc>
          <w:tcPr>
            <w:tcW w:w="0" w:type="auto"/>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rsidR="007B11FD" w:rsidRDefault="007B11FD">
            <w:pPr>
              <w:jc w:val="center"/>
              <w:rPr>
                <w:b/>
                <w:bCs/>
                <w:sz w:val="18"/>
                <w:szCs w:val="18"/>
              </w:rPr>
            </w:pPr>
          </w:p>
          <w:p w:rsidR="007B11FD" w:rsidRDefault="007B11FD">
            <w:pPr>
              <w:jc w:val="center"/>
              <w:rPr>
                <w:b/>
                <w:bCs/>
                <w:sz w:val="18"/>
                <w:szCs w:val="18"/>
              </w:rPr>
            </w:pPr>
            <w:r>
              <w:rPr>
                <w:b/>
                <w:bCs/>
                <w:sz w:val="18"/>
                <w:szCs w:val="18"/>
              </w:rPr>
              <w:t>DATI Febbraio  2013</w:t>
            </w:r>
          </w:p>
        </w:tc>
        <w:tc>
          <w:tcPr>
            <w:tcW w:w="0" w:type="auto"/>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tcPr>
          <w:p w:rsidR="007B11FD" w:rsidRDefault="007B11FD">
            <w:pPr>
              <w:jc w:val="center"/>
              <w:rPr>
                <w:b/>
                <w:bCs/>
                <w:sz w:val="18"/>
                <w:szCs w:val="18"/>
              </w:rPr>
            </w:pPr>
          </w:p>
          <w:p w:rsidR="007B11FD" w:rsidRDefault="007B11FD">
            <w:pPr>
              <w:jc w:val="center"/>
              <w:rPr>
                <w:b/>
                <w:bCs/>
                <w:sz w:val="18"/>
                <w:szCs w:val="18"/>
              </w:rPr>
            </w:pPr>
            <w:r>
              <w:rPr>
                <w:b/>
                <w:bCs/>
                <w:sz w:val="18"/>
                <w:szCs w:val="18"/>
              </w:rPr>
              <w:t>Tasso applicato in Italia (rata mese)</w:t>
            </w:r>
          </w:p>
        </w:tc>
        <w:tc>
          <w:tcPr>
            <w:tcW w:w="2242"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tcPr>
          <w:p w:rsidR="007B11FD" w:rsidRDefault="007B11FD">
            <w:pPr>
              <w:jc w:val="center"/>
              <w:rPr>
                <w:b/>
                <w:bCs/>
                <w:sz w:val="18"/>
                <w:szCs w:val="18"/>
              </w:rPr>
            </w:pPr>
          </w:p>
          <w:p w:rsidR="007B11FD" w:rsidRDefault="007B11FD">
            <w:pPr>
              <w:jc w:val="center"/>
              <w:rPr>
                <w:b/>
                <w:bCs/>
                <w:sz w:val="18"/>
                <w:szCs w:val="18"/>
              </w:rPr>
            </w:pPr>
            <w:r>
              <w:rPr>
                <w:b/>
                <w:bCs/>
                <w:sz w:val="18"/>
                <w:szCs w:val="18"/>
              </w:rPr>
              <w:t>Tasso applicato in Eurolandia (rata mese)</w:t>
            </w:r>
          </w:p>
        </w:tc>
        <w:tc>
          <w:tcPr>
            <w:tcW w:w="2942"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tcPr>
          <w:p w:rsidR="007B11FD" w:rsidRDefault="007B11FD">
            <w:pPr>
              <w:jc w:val="center"/>
              <w:rPr>
                <w:b/>
                <w:bCs/>
                <w:i/>
                <w:iCs/>
                <w:sz w:val="18"/>
                <w:szCs w:val="18"/>
              </w:rPr>
            </w:pPr>
          </w:p>
          <w:p w:rsidR="007B11FD" w:rsidRDefault="007B11FD">
            <w:pPr>
              <w:jc w:val="center"/>
              <w:rPr>
                <w:b/>
                <w:bCs/>
                <w:i/>
                <w:iCs/>
                <w:sz w:val="18"/>
                <w:szCs w:val="18"/>
              </w:rPr>
            </w:pPr>
            <w:r>
              <w:rPr>
                <w:b/>
                <w:bCs/>
                <w:i/>
                <w:iCs/>
                <w:sz w:val="18"/>
                <w:szCs w:val="18"/>
              </w:rPr>
              <w:t>DIFFERENZA IN EURO</w:t>
            </w:r>
          </w:p>
        </w:tc>
      </w:tr>
      <w:tr w:rsidR="007B11FD" w:rsidTr="007B11FD">
        <w:tc>
          <w:tcPr>
            <w:tcW w:w="0" w:type="auto"/>
            <w:tcBorders>
              <w:top w:val="nil"/>
              <w:left w:val="single" w:sz="8" w:space="0" w:color="auto"/>
              <w:bottom w:val="single" w:sz="8" w:space="0" w:color="auto"/>
              <w:right w:val="single" w:sz="8" w:space="0" w:color="auto"/>
            </w:tcBorders>
            <w:shd w:val="clear" w:color="auto" w:fill="D6E3BC"/>
            <w:tcMar>
              <w:top w:w="0" w:type="dxa"/>
              <w:left w:w="108" w:type="dxa"/>
              <w:bottom w:w="0" w:type="dxa"/>
              <w:right w:w="108" w:type="dxa"/>
            </w:tcMar>
            <w:vAlign w:val="center"/>
            <w:hideMark/>
          </w:tcPr>
          <w:p w:rsidR="007B11FD" w:rsidRDefault="007B11FD">
            <w:pPr>
              <w:rPr>
                <w:b/>
                <w:bCs/>
                <w:sz w:val="18"/>
                <w:szCs w:val="18"/>
              </w:rPr>
            </w:pPr>
            <w:r>
              <w:rPr>
                <w:b/>
                <w:bCs/>
                <w:sz w:val="18"/>
                <w:szCs w:val="18"/>
              </w:rPr>
              <w:t>Mutuo 100.000 euro a 30 anni</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7B11FD" w:rsidRDefault="007B11FD">
            <w:pPr>
              <w:spacing w:line="360" w:lineRule="auto"/>
              <w:jc w:val="right"/>
              <w:rPr>
                <w:rFonts w:ascii="Century Gothic" w:hAnsi="Century Gothic"/>
                <w:sz w:val="18"/>
                <w:szCs w:val="18"/>
              </w:rPr>
            </w:pPr>
            <w:r>
              <w:rPr>
                <w:rFonts w:ascii="Century Gothic" w:hAnsi="Century Gothic"/>
                <w:sz w:val="18"/>
                <w:szCs w:val="18"/>
              </w:rPr>
              <w:t>516 € (tasso 4,66%)</w:t>
            </w:r>
          </w:p>
        </w:tc>
        <w:tc>
          <w:tcPr>
            <w:tcW w:w="22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B11FD" w:rsidRDefault="007B11FD">
            <w:pPr>
              <w:spacing w:line="360" w:lineRule="auto"/>
              <w:jc w:val="right"/>
              <w:rPr>
                <w:rFonts w:ascii="Century Gothic" w:hAnsi="Century Gothic"/>
                <w:sz w:val="18"/>
                <w:szCs w:val="18"/>
              </w:rPr>
            </w:pPr>
            <w:r>
              <w:rPr>
                <w:rFonts w:ascii="Century Gothic" w:hAnsi="Century Gothic"/>
                <w:sz w:val="18"/>
                <w:szCs w:val="18"/>
              </w:rPr>
              <w:t>440 € (Tasso 3,35%)</w:t>
            </w:r>
          </w:p>
        </w:tc>
        <w:tc>
          <w:tcPr>
            <w:tcW w:w="29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B11FD" w:rsidRPr="007B11FD" w:rsidRDefault="007B11FD">
            <w:pPr>
              <w:spacing w:line="360" w:lineRule="auto"/>
              <w:jc w:val="right"/>
              <w:rPr>
                <w:rFonts w:ascii="Century Gothic" w:hAnsi="Century Gothic"/>
                <w:iCs/>
                <w:sz w:val="18"/>
                <w:szCs w:val="18"/>
              </w:rPr>
            </w:pPr>
            <w:r w:rsidRPr="007B11FD">
              <w:rPr>
                <w:rFonts w:ascii="Century Gothic" w:hAnsi="Century Gothic"/>
                <w:iCs/>
                <w:sz w:val="18"/>
                <w:szCs w:val="18"/>
              </w:rPr>
              <w:t>+76 € (mese)    +912 € (anno)</w:t>
            </w:r>
          </w:p>
          <w:p w:rsidR="007B11FD" w:rsidRPr="007B11FD" w:rsidRDefault="007B11FD">
            <w:pPr>
              <w:spacing w:line="360" w:lineRule="auto"/>
              <w:jc w:val="right"/>
              <w:rPr>
                <w:rFonts w:ascii="Century Gothic" w:hAnsi="Century Gothic"/>
                <w:b/>
                <w:bCs/>
                <w:iCs/>
                <w:sz w:val="18"/>
                <w:szCs w:val="18"/>
              </w:rPr>
            </w:pPr>
            <w:r w:rsidRPr="007B11FD">
              <w:rPr>
                <w:rFonts w:ascii="Century Gothic" w:hAnsi="Century Gothic"/>
                <w:b/>
                <w:bCs/>
                <w:iCs/>
                <w:sz w:val="18"/>
                <w:szCs w:val="18"/>
              </w:rPr>
              <w:t xml:space="preserve">+27.360 EURO PER I 30 ANNI  </w:t>
            </w:r>
          </w:p>
        </w:tc>
      </w:tr>
      <w:tr w:rsidR="007B11FD" w:rsidTr="007B11FD">
        <w:tc>
          <w:tcPr>
            <w:tcW w:w="0" w:type="auto"/>
            <w:tcBorders>
              <w:top w:val="nil"/>
              <w:left w:val="single" w:sz="8" w:space="0" w:color="auto"/>
              <w:bottom w:val="single" w:sz="8" w:space="0" w:color="auto"/>
              <w:right w:val="single" w:sz="8" w:space="0" w:color="auto"/>
            </w:tcBorders>
            <w:shd w:val="clear" w:color="auto" w:fill="D6E3BC"/>
            <w:tcMar>
              <w:top w:w="0" w:type="dxa"/>
              <w:left w:w="108" w:type="dxa"/>
              <w:bottom w:w="0" w:type="dxa"/>
              <w:right w:w="108" w:type="dxa"/>
            </w:tcMar>
            <w:vAlign w:val="center"/>
            <w:hideMark/>
          </w:tcPr>
          <w:p w:rsidR="007B11FD" w:rsidRDefault="007B11FD">
            <w:pPr>
              <w:rPr>
                <w:b/>
                <w:bCs/>
                <w:sz w:val="18"/>
                <w:szCs w:val="18"/>
              </w:rPr>
            </w:pPr>
            <w:r>
              <w:rPr>
                <w:b/>
                <w:bCs/>
                <w:sz w:val="18"/>
                <w:szCs w:val="18"/>
              </w:rPr>
              <w:t>Mutuo 100.000 euro a 20 anni</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7B11FD" w:rsidRDefault="007B11FD">
            <w:pPr>
              <w:spacing w:line="360" w:lineRule="auto"/>
              <w:jc w:val="right"/>
              <w:rPr>
                <w:rFonts w:ascii="Century Gothic" w:hAnsi="Century Gothic"/>
                <w:sz w:val="18"/>
                <w:szCs w:val="18"/>
              </w:rPr>
            </w:pPr>
            <w:r>
              <w:rPr>
                <w:rFonts w:ascii="Century Gothic" w:hAnsi="Century Gothic"/>
                <w:sz w:val="18"/>
                <w:szCs w:val="18"/>
              </w:rPr>
              <w:t xml:space="preserve">641 € (tasso 4,66%) </w:t>
            </w:r>
          </w:p>
        </w:tc>
        <w:tc>
          <w:tcPr>
            <w:tcW w:w="22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B11FD" w:rsidRDefault="007B11FD">
            <w:pPr>
              <w:spacing w:line="360" w:lineRule="auto"/>
              <w:jc w:val="right"/>
              <w:rPr>
                <w:rFonts w:ascii="Century Gothic" w:hAnsi="Century Gothic"/>
                <w:sz w:val="18"/>
                <w:szCs w:val="18"/>
              </w:rPr>
            </w:pPr>
            <w:r>
              <w:rPr>
                <w:rFonts w:ascii="Century Gothic" w:hAnsi="Century Gothic"/>
                <w:sz w:val="18"/>
                <w:szCs w:val="18"/>
              </w:rPr>
              <w:t>572 € (Tasso 3,35%)</w:t>
            </w:r>
          </w:p>
        </w:tc>
        <w:tc>
          <w:tcPr>
            <w:tcW w:w="29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B11FD" w:rsidRPr="007B11FD" w:rsidRDefault="007B11FD">
            <w:pPr>
              <w:spacing w:line="360" w:lineRule="auto"/>
              <w:jc w:val="right"/>
              <w:rPr>
                <w:rFonts w:ascii="Century Gothic" w:hAnsi="Century Gothic"/>
                <w:iCs/>
                <w:sz w:val="18"/>
                <w:szCs w:val="18"/>
              </w:rPr>
            </w:pPr>
            <w:r w:rsidRPr="007B11FD">
              <w:rPr>
                <w:rFonts w:ascii="Century Gothic" w:hAnsi="Century Gothic"/>
                <w:iCs/>
                <w:sz w:val="18"/>
                <w:szCs w:val="18"/>
              </w:rPr>
              <w:t>+69 € (mese)     +828 € (anno)</w:t>
            </w:r>
          </w:p>
          <w:p w:rsidR="007B11FD" w:rsidRPr="007B11FD" w:rsidRDefault="007B11FD">
            <w:pPr>
              <w:spacing w:line="360" w:lineRule="auto"/>
              <w:jc w:val="right"/>
              <w:rPr>
                <w:rFonts w:ascii="Century Gothic" w:hAnsi="Century Gothic"/>
                <w:b/>
                <w:bCs/>
                <w:iCs/>
                <w:sz w:val="18"/>
                <w:szCs w:val="18"/>
              </w:rPr>
            </w:pPr>
            <w:r w:rsidRPr="007B11FD">
              <w:rPr>
                <w:rFonts w:ascii="Century Gothic" w:hAnsi="Century Gothic"/>
                <w:b/>
                <w:bCs/>
                <w:iCs/>
                <w:sz w:val="18"/>
                <w:szCs w:val="18"/>
              </w:rPr>
              <w:t>+16.560  EURO PER I 20 ANNI</w:t>
            </w:r>
          </w:p>
        </w:tc>
      </w:tr>
    </w:tbl>
    <w:p w:rsidR="007B11FD" w:rsidRDefault="007B11FD" w:rsidP="007B11FD">
      <w:pPr>
        <w:jc w:val="both"/>
      </w:pPr>
    </w:p>
    <w:p w:rsidR="007B11FD" w:rsidRDefault="007B11FD" w:rsidP="007B11FD">
      <w:pPr>
        <w:jc w:val="both"/>
      </w:pPr>
      <w:bookmarkStart w:id="0" w:name="_GoBack"/>
      <w:bookmarkEnd w:id="0"/>
    </w:p>
    <w:p w:rsidR="007B11FD" w:rsidRDefault="007B11FD" w:rsidP="007B11FD">
      <w:pPr>
        <w:jc w:val="both"/>
      </w:pPr>
    </w:p>
    <w:p w:rsidR="007B11FD" w:rsidRDefault="007B11FD" w:rsidP="007B11FD">
      <w:pPr>
        <w:jc w:val="both"/>
      </w:pPr>
      <w:r>
        <w:t>   Un prestito di 100mila euro a 30 anni,  vede il mutuatario italiano che già fatica ad ottenere il mutuo per le garanzie richieste dalle banche anche accessorie, come l’obbligo di una costosa polizza vita, pagare una rata mensile di 76 euro  più alta (912 euro in più all’anno) del mutuatario di Eurolandia. A conclusione del mutuo, avrà pagato 27.360  euro in più di un cittadino dell’area Euro.  Per lo stesso mutuo di centomila con restituzione ventennale, alla fine il mutuatario italiano avrà pagato 16.560 euro in più.</w:t>
      </w:r>
    </w:p>
    <w:p w:rsidR="007B11FD" w:rsidRDefault="007B11FD" w:rsidP="007B11FD">
      <w:pPr>
        <w:jc w:val="both"/>
      </w:pPr>
      <w:r>
        <w:t xml:space="preserve">   Le banche italiane, al riparo dalla concorrenza e da doverose sanzioni per abuso di mercato, accordi di cartello e patti leonini, continuano ad approfittare indisturbate anche del basso livello dell’Euribor per i tassi variabili (stabile da marzo) ed </w:t>
      </w:r>
      <w:proofErr w:type="spellStart"/>
      <w:r>
        <w:t>Eurirs</w:t>
      </w:r>
      <w:proofErr w:type="spellEnd"/>
      <w:r>
        <w:t xml:space="preserve"> per i tassi fissi (in calo) per imporre spread altissimi sui mutui saccheggiando le tasche dei consumatori e delle famiglie stremate dalla crisi. </w:t>
      </w:r>
    </w:p>
    <w:p w:rsidR="007B11FD" w:rsidRDefault="007B11FD" w:rsidP="007B11FD">
      <w:pPr>
        <w:jc w:val="both"/>
      </w:pPr>
      <w:r>
        <w:t>    Adusbef e Federconsumatori, ritenendo non più tollerabili gli usi ed abusi  bancari, chiedono al Governo maggiore attenzione per lenire i soprusi quotidiani a danno della clientela, che sono la palla al piede per la ripresa economica e produttiva, un vero e proprio gap per vincere la crisi.</w:t>
      </w:r>
    </w:p>
    <w:p w:rsidR="007B11FD" w:rsidRDefault="007B11FD" w:rsidP="007B11FD">
      <w:pPr>
        <w:jc w:val="both"/>
      </w:pPr>
    </w:p>
    <w:p w:rsidR="007B11FD" w:rsidRDefault="007B11FD" w:rsidP="007B11FD">
      <w:pPr>
        <w:jc w:val="both"/>
      </w:pPr>
      <w:r>
        <w:t>                    </w:t>
      </w:r>
      <w:r>
        <w:t>                            </w:t>
      </w:r>
      <w:r>
        <w:t xml:space="preserve">Elio Lannutti (Adusbef)- Rosario </w:t>
      </w:r>
      <w:proofErr w:type="spellStart"/>
      <w:r>
        <w:t>Trefiletti</w:t>
      </w:r>
      <w:proofErr w:type="spellEnd"/>
      <w:r>
        <w:t xml:space="preserve">  (Federconsumatori)    </w:t>
      </w:r>
    </w:p>
    <w:p w:rsidR="007B11FD" w:rsidRDefault="007B11FD" w:rsidP="007B11FD">
      <w:pPr>
        <w:jc w:val="both"/>
      </w:pPr>
      <w:r>
        <w:t xml:space="preserve">Roma,10.5.2013             </w:t>
      </w:r>
    </w:p>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1FD"/>
    <w:rsid w:val="00130235"/>
    <w:rsid w:val="001A3C40"/>
    <w:rsid w:val="002E4C34"/>
    <w:rsid w:val="00370059"/>
    <w:rsid w:val="004F322C"/>
    <w:rsid w:val="005F3BF0"/>
    <w:rsid w:val="00632BCB"/>
    <w:rsid w:val="007339EC"/>
    <w:rsid w:val="00754201"/>
    <w:rsid w:val="007B11FD"/>
    <w:rsid w:val="00873879"/>
    <w:rsid w:val="0094402A"/>
    <w:rsid w:val="009B4EA1"/>
    <w:rsid w:val="00A42182"/>
    <w:rsid w:val="00B35AE5"/>
    <w:rsid w:val="00B90F78"/>
    <w:rsid w:val="00C200C3"/>
    <w:rsid w:val="00C55771"/>
    <w:rsid w:val="00C76E16"/>
    <w:rsid w:val="00D07FAE"/>
    <w:rsid w:val="00D709E1"/>
    <w:rsid w:val="00DB5BBF"/>
    <w:rsid w:val="00E612FB"/>
    <w:rsid w:val="00EE7D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B11FD"/>
    <w:pPr>
      <w:spacing w:afterAutospacing="0"/>
    </w:pPr>
    <w:rPr>
      <w:rFonts w:ascii="Trebuchet MS" w:eastAsiaTheme="minorHAnsi" w:hAnsi="Trebuchet MS"/>
      <w:bCs w:val="0"/>
      <w:iCs w:val="0"/>
      <w:kern w:val="0"/>
      <w:lang w:eastAsia="zh-CN"/>
    </w:rPr>
  </w:style>
  <w:style w:type="paragraph" w:styleId="Titolo1">
    <w:name w:val="heading 1"/>
    <w:basedOn w:val="Normale"/>
    <w:link w:val="Titolo1Carattere"/>
    <w:uiPriority w:val="9"/>
    <w:qFormat/>
    <w:rsid w:val="00130235"/>
    <w:pPr>
      <w:keepNext/>
      <w:spacing w:before="240" w:after="60" w:afterAutospacing="1"/>
      <w:ind w:left="480" w:right="34"/>
      <w:outlineLvl w:val="0"/>
    </w:pPr>
    <w:rPr>
      <w:rFonts w:ascii="Century Gothic" w:eastAsia="Times New Roman" w:hAnsi="Century Gothic" w:cs="Century Gothic"/>
      <w:b/>
      <w:iCs/>
      <w:kern w:val="36"/>
      <w:sz w:val="32"/>
      <w:szCs w:val="32"/>
      <w:lang w:eastAsia="it-IT"/>
    </w:rPr>
  </w:style>
  <w:style w:type="paragraph" w:styleId="Titolo2">
    <w:name w:val="heading 2"/>
    <w:basedOn w:val="Normale"/>
    <w:link w:val="Titolo2Carattere"/>
    <w:qFormat/>
    <w:rsid w:val="00130235"/>
    <w:pPr>
      <w:keepNext/>
      <w:spacing w:before="240" w:after="60" w:afterAutospacing="1"/>
      <w:jc w:val="center"/>
      <w:outlineLvl w:val="1"/>
    </w:pPr>
    <w:rPr>
      <w:rFonts w:ascii="Century Gothic" w:eastAsia="Times New Roman" w:hAnsi="Century Gothic" w:cs="Century Gothic"/>
      <w:bCs/>
      <w:iCs/>
      <w:kern w:val="36"/>
      <w:sz w:val="24"/>
      <w:szCs w:val="24"/>
      <w:lang w:eastAsia="it-IT"/>
    </w:rPr>
  </w:style>
  <w:style w:type="paragraph" w:styleId="Titolo3">
    <w:name w:val="heading 3"/>
    <w:basedOn w:val="Normale"/>
    <w:link w:val="Titolo3Carattere"/>
    <w:uiPriority w:val="9"/>
    <w:qFormat/>
    <w:rsid w:val="00130235"/>
    <w:pPr>
      <w:keepNext/>
      <w:spacing w:before="240" w:after="60" w:afterAutospacing="1"/>
      <w:outlineLvl w:val="2"/>
    </w:pPr>
    <w:rPr>
      <w:rFonts w:ascii="Century Gothic" w:eastAsia="Times New Roman" w:hAnsi="Century Gothic" w:cs="Century Gothic"/>
      <w:b/>
      <w:iCs/>
      <w:kern w:val="36"/>
      <w:lang w:eastAsia="it-IT"/>
    </w:rPr>
  </w:style>
  <w:style w:type="paragraph" w:styleId="Titolo4">
    <w:name w:val="heading 4"/>
    <w:basedOn w:val="Normale"/>
    <w:link w:val="Titolo4Carattere"/>
    <w:uiPriority w:val="9"/>
    <w:qFormat/>
    <w:rsid w:val="00130235"/>
    <w:pPr>
      <w:keepNext/>
      <w:spacing w:before="240" w:after="60" w:afterAutospacing="1"/>
      <w:outlineLvl w:val="3"/>
    </w:pPr>
    <w:rPr>
      <w:rFonts w:ascii="Times New Roman" w:eastAsia="Times New Roman" w:hAnsi="Times New Roman"/>
      <w:b/>
      <w:iCs/>
      <w:kern w:val="36"/>
      <w:sz w:val="28"/>
      <w:szCs w:val="28"/>
      <w:lang w:eastAsia="it-IT"/>
    </w:rPr>
  </w:style>
  <w:style w:type="paragraph" w:styleId="Titolo6">
    <w:name w:val="heading 6"/>
    <w:basedOn w:val="Normale"/>
    <w:link w:val="Titolo6Carattere"/>
    <w:uiPriority w:val="9"/>
    <w:qFormat/>
    <w:rsid w:val="00130235"/>
    <w:pPr>
      <w:spacing w:before="240" w:after="60" w:afterAutospacing="1"/>
      <w:outlineLvl w:val="5"/>
    </w:pPr>
    <w:rPr>
      <w:rFonts w:ascii="Times New Roman" w:eastAsia="Times New Roman" w:hAnsi="Times New Roman"/>
      <w:b/>
      <w:iCs/>
      <w:kern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afterAutospacing="1"/>
    </w:pPr>
    <w:rPr>
      <w:rFonts w:ascii="Times New Roman" w:eastAsia="Times New Roman" w:hAnsi="Times New Roman"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afterAutospacing="1"/>
      <w:jc w:val="center"/>
    </w:pPr>
    <w:rPr>
      <w:rFonts w:ascii="Arial" w:eastAsia="Times New Roman" w:hAnsi="Arial" w:cs="Arial"/>
      <w:b/>
      <w:iCs/>
      <w:kern w:val="36"/>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Autospacing="1"/>
      <w:ind w:left="600"/>
    </w:pPr>
    <w:rPr>
      <w:rFonts w:asciiTheme="majorHAnsi" w:eastAsiaTheme="majorEastAsia" w:hAnsiTheme="majorHAnsi" w:cstheme="majorBidi"/>
      <w:bCs/>
      <w:i/>
      <w:color w:val="4F81BD" w:themeColor="accent1"/>
      <w:spacing w:val="15"/>
      <w:kern w:val="36"/>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76" w:lineRule="auto"/>
      <w:ind w:left="170" w:right="-39"/>
      <w:jc w:val="both"/>
    </w:pPr>
    <w:rPr>
      <w:rFonts w:cs="Century Gothic"/>
      <w:lang w:eastAsia="en-US"/>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Autospacing="1"/>
      <w:ind w:right="-2"/>
      <w:jc w:val="both"/>
    </w:pPr>
    <w:rPr>
      <w:rFonts w:ascii="Century Gothic" w:eastAsia="Times New Roman" w:hAnsi="Century Gothic"/>
      <w:bCs/>
      <w:iCs/>
      <w:kern w:val="36"/>
      <w:sz w:val="24"/>
      <w:szCs w:val="24"/>
      <w:lang w:eastAsia="it-IT"/>
    </w:rPr>
  </w:style>
  <w:style w:type="paragraph" w:styleId="Sommario3">
    <w:name w:val="toc 3"/>
    <w:basedOn w:val="Normale"/>
    <w:autoRedefine/>
    <w:uiPriority w:val="39"/>
    <w:semiHidden/>
    <w:unhideWhenUsed/>
    <w:rsid w:val="00130235"/>
    <w:pPr>
      <w:spacing w:afterAutospacing="1"/>
      <w:ind w:left="440"/>
    </w:pPr>
    <w:rPr>
      <w:rFonts w:ascii="Times New Roman" w:eastAsia="Times New Roman" w:hAnsi="Times New Roman"/>
      <w:bCs/>
      <w:iCs/>
      <w:kern w:val="36"/>
      <w:lang w:eastAsia="it-IT"/>
    </w:rPr>
  </w:style>
  <w:style w:type="paragraph" w:styleId="Testonotaapidipagina">
    <w:name w:val="footnote text"/>
    <w:basedOn w:val="Normale"/>
    <w:link w:val="TestonotaapidipaginaCarattere"/>
    <w:uiPriority w:val="99"/>
    <w:semiHidden/>
    <w:unhideWhenUsed/>
    <w:rsid w:val="00130235"/>
    <w:pPr>
      <w:spacing w:afterAutospacing="1"/>
    </w:pPr>
    <w:rPr>
      <w:rFonts w:ascii="Times New Roman" w:eastAsia="Times New Roman" w:hAnsi="Times New Roman"/>
      <w:bCs/>
      <w:iCs/>
      <w:kern w:val="36"/>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Autospacing="1"/>
    </w:pPr>
    <w:rPr>
      <w:rFonts w:ascii="Times New Roman" w:eastAsia="Times New Roman" w:hAnsi="Times New Roman"/>
      <w:bCs/>
      <w:iCs/>
      <w:kern w:val="36"/>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Autospacing="1"/>
    </w:pPr>
    <w:rPr>
      <w:rFonts w:ascii="Times New Roman" w:eastAsia="Times New Roman" w:hAnsi="Times New Roman"/>
      <w:bCs/>
      <w:iCs/>
      <w:kern w:val="36"/>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Autospacing="1"/>
    </w:pPr>
    <w:rPr>
      <w:rFonts w:ascii="Century Gothic" w:eastAsia="Times New Roman" w:hAnsi="Century Gothic"/>
      <w:bCs/>
      <w:iCs/>
      <w:kern w:val="36"/>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Autospacing="1"/>
      <w:ind w:left="480"/>
    </w:pPr>
    <w:rPr>
      <w:rFonts w:ascii="Century Gothic" w:eastAsia="Times New Roman" w:hAnsi="Century Gothic"/>
      <w:bCs/>
      <w:iCs/>
      <w:color w:val="FF0000"/>
      <w:kern w:val="36"/>
      <w:sz w:val="18"/>
      <w:szCs w:val="18"/>
      <w:lang w:eastAsia="it-IT"/>
    </w:rPr>
  </w:style>
  <w:style w:type="paragraph" w:styleId="Testonormale">
    <w:name w:val="Plain Text"/>
    <w:basedOn w:val="Normale"/>
    <w:link w:val="TestonormaleCarattere"/>
    <w:uiPriority w:val="99"/>
    <w:semiHidden/>
    <w:unhideWhenUsed/>
    <w:rsid w:val="00130235"/>
    <w:pPr>
      <w:spacing w:afterAutospacing="1"/>
    </w:pPr>
    <w:rPr>
      <w:rFonts w:ascii="Calibri" w:eastAsia="Times New Roman" w:hAnsi="Calibri"/>
      <w:bCs/>
      <w:iCs/>
      <w:kern w:val="36"/>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Autospacing="1"/>
    </w:pPr>
    <w:rPr>
      <w:rFonts w:ascii="Tahoma" w:eastAsia="Times New Roman" w:hAnsi="Tahoma" w:cs="Tahoma"/>
      <w:bCs/>
      <w:iCs/>
      <w:kern w:val="36"/>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Autospacing="1"/>
      <w:ind w:left="2160"/>
      <w:jc w:val="both"/>
    </w:pPr>
    <w:rPr>
      <w:rFonts w:ascii="Century Gothic" w:eastAsia="Times New Roman" w:hAnsi="Century Gothic"/>
      <w:bCs/>
      <w:iCs/>
      <w:color w:val="0F243E"/>
      <w:kern w:val="36"/>
      <w:sz w:val="24"/>
      <w:szCs w:val="24"/>
      <w:lang w:eastAsia="it-IT"/>
    </w:rPr>
  </w:style>
  <w:style w:type="paragraph" w:styleId="Paragrafoelenco">
    <w:name w:val="List Paragraph"/>
    <w:basedOn w:val="Normale"/>
    <w:uiPriority w:val="34"/>
    <w:qFormat/>
    <w:rsid w:val="00130235"/>
    <w:pPr>
      <w:spacing w:afterAutospacing="1"/>
      <w:ind w:left="720"/>
    </w:pPr>
    <w:rPr>
      <w:rFonts w:ascii="Century Gothic" w:eastAsia="Times New Roman" w:hAnsi="Century Gothic"/>
      <w:bCs/>
      <w:iCs/>
      <w:kern w:val="36"/>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B11FD"/>
    <w:pPr>
      <w:spacing w:afterAutospacing="0"/>
    </w:pPr>
    <w:rPr>
      <w:rFonts w:ascii="Trebuchet MS" w:eastAsiaTheme="minorHAnsi" w:hAnsi="Trebuchet MS"/>
      <w:bCs w:val="0"/>
      <w:iCs w:val="0"/>
      <w:kern w:val="0"/>
      <w:lang w:eastAsia="zh-CN"/>
    </w:rPr>
  </w:style>
  <w:style w:type="paragraph" w:styleId="Titolo1">
    <w:name w:val="heading 1"/>
    <w:basedOn w:val="Normale"/>
    <w:link w:val="Titolo1Carattere"/>
    <w:uiPriority w:val="9"/>
    <w:qFormat/>
    <w:rsid w:val="00130235"/>
    <w:pPr>
      <w:keepNext/>
      <w:spacing w:before="240" w:after="60" w:afterAutospacing="1"/>
      <w:ind w:left="480" w:right="34"/>
      <w:outlineLvl w:val="0"/>
    </w:pPr>
    <w:rPr>
      <w:rFonts w:ascii="Century Gothic" w:eastAsia="Times New Roman" w:hAnsi="Century Gothic" w:cs="Century Gothic"/>
      <w:b/>
      <w:iCs/>
      <w:kern w:val="36"/>
      <w:sz w:val="32"/>
      <w:szCs w:val="32"/>
      <w:lang w:eastAsia="it-IT"/>
    </w:rPr>
  </w:style>
  <w:style w:type="paragraph" w:styleId="Titolo2">
    <w:name w:val="heading 2"/>
    <w:basedOn w:val="Normale"/>
    <w:link w:val="Titolo2Carattere"/>
    <w:qFormat/>
    <w:rsid w:val="00130235"/>
    <w:pPr>
      <w:keepNext/>
      <w:spacing w:before="240" w:after="60" w:afterAutospacing="1"/>
      <w:jc w:val="center"/>
      <w:outlineLvl w:val="1"/>
    </w:pPr>
    <w:rPr>
      <w:rFonts w:ascii="Century Gothic" w:eastAsia="Times New Roman" w:hAnsi="Century Gothic" w:cs="Century Gothic"/>
      <w:bCs/>
      <w:iCs/>
      <w:kern w:val="36"/>
      <w:sz w:val="24"/>
      <w:szCs w:val="24"/>
      <w:lang w:eastAsia="it-IT"/>
    </w:rPr>
  </w:style>
  <w:style w:type="paragraph" w:styleId="Titolo3">
    <w:name w:val="heading 3"/>
    <w:basedOn w:val="Normale"/>
    <w:link w:val="Titolo3Carattere"/>
    <w:uiPriority w:val="9"/>
    <w:qFormat/>
    <w:rsid w:val="00130235"/>
    <w:pPr>
      <w:keepNext/>
      <w:spacing w:before="240" w:after="60" w:afterAutospacing="1"/>
      <w:outlineLvl w:val="2"/>
    </w:pPr>
    <w:rPr>
      <w:rFonts w:ascii="Century Gothic" w:eastAsia="Times New Roman" w:hAnsi="Century Gothic" w:cs="Century Gothic"/>
      <w:b/>
      <w:iCs/>
      <w:kern w:val="36"/>
      <w:lang w:eastAsia="it-IT"/>
    </w:rPr>
  </w:style>
  <w:style w:type="paragraph" w:styleId="Titolo4">
    <w:name w:val="heading 4"/>
    <w:basedOn w:val="Normale"/>
    <w:link w:val="Titolo4Carattere"/>
    <w:uiPriority w:val="9"/>
    <w:qFormat/>
    <w:rsid w:val="00130235"/>
    <w:pPr>
      <w:keepNext/>
      <w:spacing w:before="240" w:after="60" w:afterAutospacing="1"/>
      <w:outlineLvl w:val="3"/>
    </w:pPr>
    <w:rPr>
      <w:rFonts w:ascii="Times New Roman" w:eastAsia="Times New Roman" w:hAnsi="Times New Roman"/>
      <w:b/>
      <w:iCs/>
      <w:kern w:val="36"/>
      <w:sz w:val="28"/>
      <w:szCs w:val="28"/>
      <w:lang w:eastAsia="it-IT"/>
    </w:rPr>
  </w:style>
  <w:style w:type="paragraph" w:styleId="Titolo6">
    <w:name w:val="heading 6"/>
    <w:basedOn w:val="Normale"/>
    <w:link w:val="Titolo6Carattere"/>
    <w:uiPriority w:val="9"/>
    <w:qFormat/>
    <w:rsid w:val="00130235"/>
    <w:pPr>
      <w:spacing w:before="240" w:after="60" w:afterAutospacing="1"/>
      <w:outlineLvl w:val="5"/>
    </w:pPr>
    <w:rPr>
      <w:rFonts w:ascii="Times New Roman" w:eastAsia="Times New Roman" w:hAnsi="Times New Roman"/>
      <w:b/>
      <w:iCs/>
      <w:kern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afterAutospacing="1"/>
    </w:pPr>
    <w:rPr>
      <w:rFonts w:ascii="Times New Roman" w:eastAsia="Times New Roman" w:hAnsi="Times New Roman"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afterAutospacing="1"/>
      <w:jc w:val="center"/>
    </w:pPr>
    <w:rPr>
      <w:rFonts w:ascii="Arial" w:eastAsia="Times New Roman" w:hAnsi="Arial" w:cs="Arial"/>
      <w:b/>
      <w:iCs/>
      <w:kern w:val="36"/>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Autospacing="1"/>
      <w:ind w:left="600"/>
    </w:pPr>
    <w:rPr>
      <w:rFonts w:asciiTheme="majorHAnsi" w:eastAsiaTheme="majorEastAsia" w:hAnsiTheme="majorHAnsi" w:cstheme="majorBidi"/>
      <w:bCs/>
      <w:i/>
      <w:color w:val="4F81BD" w:themeColor="accent1"/>
      <w:spacing w:val="15"/>
      <w:kern w:val="36"/>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76" w:lineRule="auto"/>
      <w:ind w:left="170" w:right="-39"/>
      <w:jc w:val="both"/>
    </w:pPr>
    <w:rPr>
      <w:rFonts w:cs="Century Gothic"/>
      <w:lang w:eastAsia="en-US"/>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Autospacing="1"/>
      <w:ind w:right="-2"/>
      <w:jc w:val="both"/>
    </w:pPr>
    <w:rPr>
      <w:rFonts w:ascii="Century Gothic" w:eastAsia="Times New Roman" w:hAnsi="Century Gothic"/>
      <w:bCs/>
      <w:iCs/>
      <w:kern w:val="36"/>
      <w:sz w:val="24"/>
      <w:szCs w:val="24"/>
      <w:lang w:eastAsia="it-IT"/>
    </w:rPr>
  </w:style>
  <w:style w:type="paragraph" w:styleId="Sommario3">
    <w:name w:val="toc 3"/>
    <w:basedOn w:val="Normale"/>
    <w:autoRedefine/>
    <w:uiPriority w:val="39"/>
    <w:semiHidden/>
    <w:unhideWhenUsed/>
    <w:rsid w:val="00130235"/>
    <w:pPr>
      <w:spacing w:afterAutospacing="1"/>
      <w:ind w:left="440"/>
    </w:pPr>
    <w:rPr>
      <w:rFonts w:ascii="Times New Roman" w:eastAsia="Times New Roman" w:hAnsi="Times New Roman"/>
      <w:bCs/>
      <w:iCs/>
      <w:kern w:val="36"/>
      <w:lang w:eastAsia="it-IT"/>
    </w:rPr>
  </w:style>
  <w:style w:type="paragraph" w:styleId="Testonotaapidipagina">
    <w:name w:val="footnote text"/>
    <w:basedOn w:val="Normale"/>
    <w:link w:val="TestonotaapidipaginaCarattere"/>
    <w:uiPriority w:val="99"/>
    <w:semiHidden/>
    <w:unhideWhenUsed/>
    <w:rsid w:val="00130235"/>
    <w:pPr>
      <w:spacing w:afterAutospacing="1"/>
    </w:pPr>
    <w:rPr>
      <w:rFonts w:ascii="Times New Roman" w:eastAsia="Times New Roman" w:hAnsi="Times New Roman"/>
      <w:bCs/>
      <w:iCs/>
      <w:kern w:val="36"/>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Autospacing="1"/>
    </w:pPr>
    <w:rPr>
      <w:rFonts w:ascii="Times New Roman" w:eastAsia="Times New Roman" w:hAnsi="Times New Roman"/>
      <w:bCs/>
      <w:iCs/>
      <w:kern w:val="36"/>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Autospacing="1"/>
    </w:pPr>
    <w:rPr>
      <w:rFonts w:ascii="Times New Roman" w:eastAsia="Times New Roman" w:hAnsi="Times New Roman"/>
      <w:bCs/>
      <w:iCs/>
      <w:kern w:val="36"/>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Autospacing="1"/>
    </w:pPr>
    <w:rPr>
      <w:rFonts w:ascii="Century Gothic" w:eastAsia="Times New Roman" w:hAnsi="Century Gothic"/>
      <w:bCs/>
      <w:iCs/>
      <w:kern w:val="36"/>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Autospacing="1"/>
      <w:ind w:left="480"/>
    </w:pPr>
    <w:rPr>
      <w:rFonts w:ascii="Century Gothic" w:eastAsia="Times New Roman" w:hAnsi="Century Gothic"/>
      <w:bCs/>
      <w:iCs/>
      <w:color w:val="FF0000"/>
      <w:kern w:val="36"/>
      <w:sz w:val="18"/>
      <w:szCs w:val="18"/>
      <w:lang w:eastAsia="it-IT"/>
    </w:rPr>
  </w:style>
  <w:style w:type="paragraph" w:styleId="Testonormale">
    <w:name w:val="Plain Text"/>
    <w:basedOn w:val="Normale"/>
    <w:link w:val="TestonormaleCarattere"/>
    <w:uiPriority w:val="99"/>
    <w:semiHidden/>
    <w:unhideWhenUsed/>
    <w:rsid w:val="00130235"/>
    <w:pPr>
      <w:spacing w:afterAutospacing="1"/>
    </w:pPr>
    <w:rPr>
      <w:rFonts w:ascii="Calibri" w:eastAsia="Times New Roman" w:hAnsi="Calibri"/>
      <w:bCs/>
      <w:iCs/>
      <w:kern w:val="36"/>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Autospacing="1"/>
    </w:pPr>
    <w:rPr>
      <w:rFonts w:ascii="Tahoma" w:eastAsia="Times New Roman" w:hAnsi="Tahoma" w:cs="Tahoma"/>
      <w:bCs/>
      <w:iCs/>
      <w:kern w:val="36"/>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Autospacing="1"/>
      <w:ind w:left="2160"/>
      <w:jc w:val="both"/>
    </w:pPr>
    <w:rPr>
      <w:rFonts w:ascii="Century Gothic" w:eastAsia="Times New Roman" w:hAnsi="Century Gothic"/>
      <w:bCs/>
      <w:iCs/>
      <w:color w:val="0F243E"/>
      <w:kern w:val="36"/>
      <w:sz w:val="24"/>
      <w:szCs w:val="24"/>
      <w:lang w:eastAsia="it-IT"/>
    </w:rPr>
  </w:style>
  <w:style w:type="paragraph" w:styleId="Paragrafoelenco">
    <w:name w:val="List Paragraph"/>
    <w:basedOn w:val="Normale"/>
    <w:uiPriority w:val="34"/>
    <w:qFormat/>
    <w:rsid w:val="00130235"/>
    <w:pPr>
      <w:spacing w:afterAutospacing="1"/>
      <w:ind w:left="720"/>
    </w:pPr>
    <w:rPr>
      <w:rFonts w:ascii="Century Gothic" w:eastAsia="Times New Roman" w:hAnsi="Century Gothic"/>
      <w:bCs/>
      <w:iCs/>
      <w:kern w:val="36"/>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7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585</Words>
  <Characters>3341</Characters>
  <Application>Microsoft Office Word</Application>
  <DocSecurity>0</DocSecurity>
  <Lines>27</Lines>
  <Paragraphs>7</Paragraphs>
  <ScaleCrop>false</ScaleCrop>
  <Company/>
  <LinksUpToDate>false</LinksUpToDate>
  <CharactersWithSpaces>3919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2013-05-10T10:47:00Z</dcterms:created>
  <dcterms:modified xsi:type="dcterms:W3CDTF">2013-05-10T10:53:00Z</dcterms:modified>
</cp:coreProperties>
</file>