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7FF3" w:rsidRDefault="007C7FF3" w:rsidP="007C7FF3">
      <w:pPr>
        <w:pStyle w:val="Nessunaspaziatura"/>
        <w:ind w:left="0"/>
        <w:jc w:val="center"/>
      </w:pPr>
      <w:bookmarkStart w:id="0" w:name="_GoBack"/>
      <w:r>
        <w:t>COMUNICATO STAMPA</w:t>
      </w:r>
    </w:p>
    <w:p w:rsidR="007C7FF3" w:rsidRDefault="007C7FF3" w:rsidP="007C7FF3">
      <w:pPr>
        <w:pStyle w:val="Nessunaspaziatura"/>
        <w:ind w:left="0"/>
        <w:jc w:val="center"/>
      </w:pPr>
    </w:p>
    <w:p w:rsidR="007C7FF3" w:rsidRDefault="007C7FF3" w:rsidP="007C7FF3">
      <w:pPr>
        <w:pStyle w:val="Nessunaspaziatura"/>
        <w:ind w:left="0"/>
        <w:jc w:val="center"/>
      </w:pPr>
      <w:r>
        <w:t>BOZZE DEF: TAGLI ALLA SPESA PUBBLICA CLAMOROSAMENTE SMENTITI DALLE TABELLE ALLEGATE</w:t>
      </w:r>
    </w:p>
    <w:p w:rsidR="007C7FF3" w:rsidRDefault="007C7FF3" w:rsidP="007C7FF3">
      <w:pPr>
        <w:pStyle w:val="Nessunaspaziatura"/>
        <w:ind w:left="0"/>
        <w:jc w:val="center"/>
      </w:pPr>
      <w:r>
        <w:t>NEL 2014 TOTALE SPESA 802,6 MLD; NEL 2015 811,2 MILIARDI; NEL 2018 845,5 MILIARDI DI EURO.</w:t>
      </w:r>
    </w:p>
    <w:p w:rsidR="007C7FF3" w:rsidRDefault="007C7FF3" w:rsidP="007C7FF3">
      <w:pPr>
        <w:pStyle w:val="Nessunaspaziatura"/>
        <w:ind w:left="0"/>
        <w:jc w:val="center"/>
      </w:pPr>
      <w:r>
        <w:t>TANTO FUMO E POCO ARROSTO IL DEF, FONDATO SU STIME ALEATORIE PRIVE DI COPERTURE STABILI.</w:t>
      </w:r>
    </w:p>
    <w:p w:rsidR="007C7FF3" w:rsidRDefault="007C7FF3" w:rsidP="007C7FF3">
      <w:pPr>
        <w:pStyle w:val="Nessunaspaziatura"/>
        <w:ind w:left="0"/>
      </w:pPr>
    </w:p>
    <w:p w:rsidR="007C7FF3" w:rsidRDefault="007C7FF3" w:rsidP="007C7FF3">
      <w:pPr>
        <w:pStyle w:val="Nessunaspaziatura"/>
        <w:ind w:left="0"/>
        <w:rPr>
          <w:sz w:val="22"/>
          <w:szCs w:val="22"/>
        </w:rPr>
      </w:pPr>
      <w:r>
        <w:t>  Nelle 150 pagine del documento di economia e finanza (</w:t>
      </w:r>
      <w:proofErr w:type="spellStart"/>
      <w:r>
        <w:t>Def</w:t>
      </w:r>
      <w:proofErr w:type="spellEnd"/>
      <w:r>
        <w:t xml:space="preserve">) e relative tabelle  allegate nella bozza del Piano nazionale delle riforme (PNR), non si intravede quel sostanzioso taglio alla spesa pubblica, come propagandato ai quattro venti dal premier Matteo Renzi. Al contrario  a fronte di un +0,8% del </w:t>
      </w:r>
      <w:proofErr w:type="spellStart"/>
      <w:r>
        <w:t>Pil</w:t>
      </w:r>
      <w:proofErr w:type="spellEnd"/>
      <w:r>
        <w:t xml:space="preserve"> nel 2014 e di una previsione di crescita dell’economia di un +1,3%  nel 2015 e + 1,6% nel 2016 (stima gonfiata di un + 0,6% rispetto all’1% del precedente governo, è prevista una crescita della spesa pubblica dagli 802,6 miliardi di euro nel 2014, ad 811,2 miliardi nel 2015; 822 nel 2016; 832 nel 2017, per arrivare passare a 845,5 miliardi di euro nel 2018 (tabelle regola spesa): come si conciliano questi dati con la revisione della spesa pubblica (</w:t>
      </w:r>
      <w:proofErr w:type="spellStart"/>
      <w:r>
        <w:t>spending</w:t>
      </w:r>
      <w:proofErr w:type="spellEnd"/>
      <w:r>
        <w:t xml:space="preserve"> </w:t>
      </w:r>
      <w:proofErr w:type="spellStart"/>
      <w:r>
        <w:t>review</w:t>
      </w:r>
      <w:proofErr w:type="spellEnd"/>
      <w:r>
        <w:t xml:space="preserve">), che apposta nel </w:t>
      </w:r>
      <w:proofErr w:type="spellStart"/>
      <w:r>
        <w:t>Def</w:t>
      </w:r>
      <w:proofErr w:type="spellEnd"/>
      <w:r>
        <w:t>  6 miliardi di risparmi nel 2014 (dei quali 4,5 miliardi nel secondo semestre), circa  17 miliardi nel 2015, ben 32 miliardi di euro nel 2016 ?</w:t>
      </w:r>
    </w:p>
    <w:p w:rsidR="007C7FF3" w:rsidRDefault="007C7FF3" w:rsidP="007C7FF3">
      <w:pPr>
        <w:pStyle w:val="Nessunaspaziatura"/>
        <w:ind w:left="0"/>
      </w:pPr>
      <w:r>
        <w:t>   Il rapporto deficit-</w:t>
      </w:r>
      <w:proofErr w:type="spellStart"/>
      <w:r>
        <w:t>Pil</w:t>
      </w:r>
      <w:proofErr w:type="spellEnd"/>
      <w:r>
        <w:t xml:space="preserve"> che dovrebbe attestarsi al 2,6% quest’anno, in diminuzione dal 3% nel 2013, dovrebbe scendere al  2% nel 2015, per calare all’1,5% ne nel 2016;  la disoccupazione prevista quest'anno al 12,8% (dal 12,2% del 2013), dovrebbe scendere al 12,5% nel 2015, ed all’11,6% nel 2017, mentre il debito pubblico salirà quest'anno al 134,9% del </w:t>
      </w:r>
      <w:proofErr w:type="spellStart"/>
      <w:r>
        <w:t>Pil</w:t>
      </w:r>
      <w:proofErr w:type="spellEnd"/>
      <w:r>
        <w:t xml:space="preserve">, per ridursi al 133,3% nel 2015, a 129,8% nel 2016, al 125,1% nel 2017, a 120,5% nel 2018. Si conciliano queste dati previsionali con la spesa per interessi che passerà (nonostante la forte riduzione degli spread) da  82 miliardi nel 2014 e 2015 ad 85 miliardi nel triennio 2016/2018 ? La bozza del </w:t>
      </w:r>
      <w:proofErr w:type="spellStart"/>
      <w:r>
        <w:t>Pnr</w:t>
      </w:r>
      <w:proofErr w:type="spellEnd"/>
      <w:r>
        <w:t xml:space="preserve"> allegato al </w:t>
      </w:r>
      <w:proofErr w:type="spellStart"/>
      <w:r>
        <w:t>Def</w:t>
      </w:r>
      <w:proofErr w:type="spellEnd"/>
      <w:r>
        <w:t xml:space="preserve"> prevede 12 miliardi di euro nel 2014 di proventi delle privatizzazioni, mentre nel 2015, 2016 e 2017 sono previsti ricavi  di  10-12 miliardi di euro annui, (0,7 del </w:t>
      </w:r>
      <w:proofErr w:type="spellStart"/>
      <w:r>
        <w:t>Pil</w:t>
      </w:r>
      <w:proofErr w:type="spellEnd"/>
      <w:r>
        <w:t xml:space="preserve">). A meno che non si svendano a prezzi di saldo le aziende di Stato, è credibile una manovra che apposta 12 miliardi di euro di privatizzazioni nel 2014 ? </w:t>
      </w:r>
    </w:p>
    <w:p w:rsidR="007C7FF3" w:rsidRDefault="007C7FF3" w:rsidP="007C7FF3">
      <w:pPr>
        <w:pStyle w:val="Nessunaspaziatura"/>
        <w:ind w:left="0"/>
      </w:pPr>
      <w:r>
        <w:t xml:space="preserve">Bene l’aumento al 26% dell’aliquota fiscale sulla rivalutazione delle quote di Bankitalia, ma in assenza di un blocco triennale delle tariffe bancarie i maggiori oneri saranno addossati ai correntisti, con un costo pro-capite di 35 euro, aggravando così gli alti costi di gestione dei conti correnti, pari in Italia a 371 euro, contro una media europea di 114 euro. </w:t>
      </w:r>
    </w:p>
    <w:bookmarkEnd w:id="0"/>
    <w:p w:rsidR="007C7FF3" w:rsidRDefault="007C7FF3" w:rsidP="007C7FF3">
      <w:pPr>
        <w:pStyle w:val="Nessunaspaziatura"/>
      </w:pPr>
    </w:p>
    <w:p w:rsidR="007C7FF3" w:rsidRDefault="007C7FF3" w:rsidP="007C7FF3">
      <w:pPr>
        <w:pStyle w:val="Nessunaspaziatura"/>
      </w:pPr>
    </w:p>
    <w:tbl>
      <w:tblPr>
        <w:tblW w:w="7761" w:type="dxa"/>
        <w:tblInd w:w="454" w:type="dxa"/>
        <w:tblCellMar>
          <w:left w:w="0" w:type="dxa"/>
          <w:right w:w="0" w:type="dxa"/>
        </w:tblCellMar>
        <w:tblLook w:val="04A0" w:firstRow="1" w:lastRow="0" w:firstColumn="1" w:lastColumn="0" w:noHBand="0" w:noVBand="1"/>
      </w:tblPr>
      <w:tblGrid>
        <w:gridCol w:w="1843"/>
        <w:gridCol w:w="740"/>
        <w:gridCol w:w="741"/>
        <w:gridCol w:w="739"/>
        <w:gridCol w:w="740"/>
        <w:gridCol w:w="739"/>
        <w:gridCol w:w="740"/>
        <w:gridCol w:w="739"/>
        <w:gridCol w:w="740"/>
      </w:tblGrid>
      <w:tr w:rsidR="007C7FF3" w:rsidTr="007C7FF3">
        <w:trPr>
          <w:trHeight w:val="280"/>
        </w:trPr>
        <w:tc>
          <w:tcPr>
            <w:tcW w:w="7761" w:type="dxa"/>
            <w:gridSpan w:val="9"/>
            <w:shd w:val="clear" w:color="auto" w:fill="086E44"/>
            <w:noWrap/>
            <w:tcMar>
              <w:top w:w="0" w:type="dxa"/>
              <w:left w:w="70" w:type="dxa"/>
              <w:bottom w:w="0" w:type="dxa"/>
              <w:right w:w="70" w:type="dxa"/>
            </w:tcMar>
            <w:vAlign w:val="center"/>
            <w:hideMark/>
          </w:tcPr>
          <w:p w:rsidR="007C7FF3" w:rsidRDefault="007C7FF3">
            <w:pPr>
              <w:pStyle w:val="Tabellatitolo"/>
              <w:rPr>
                <w:vertAlign w:val="superscript"/>
                <w:lang w:eastAsia="it-IT"/>
              </w:rPr>
            </w:pPr>
            <w:r>
              <w:rPr>
                <w:lang w:eastAsia="it-IT"/>
              </w:rPr>
              <w:t>APPLICAZIONE DELLA REGOLA DI SPESA (1)</w:t>
            </w:r>
          </w:p>
        </w:tc>
      </w:tr>
      <w:tr w:rsidR="007C7FF3" w:rsidTr="007C7FF3">
        <w:trPr>
          <w:trHeight w:val="295"/>
        </w:trPr>
        <w:tc>
          <w:tcPr>
            <w:tcW w:w="1843" w:type="dxa"/>
            <w:noWrap/>
            <w:tcMar>
              <w:top w:w="0" w:type="dxa"/>
              <w:left w:w="70" w:type="dxa"/>
              <w:bottom w:w="0" w:type="dxa"/>
              <w:right w:w="70" w:type="dxa"/>
            </w:tcMar>
            <w:vAlign w:val="center"/>
            <w:hideMark/>
          </w:tcPr>
          <w:p w:rsidR="007C7FF3" w:rsidRDefault="007C7FF3">
            <w:pPr>
              <w:spacing w:line="240" w:lineRule="auto"/>
              <w:ind w:firstLine="0"/>
              <w:jc w:val="left"/>
              <w:rPr>
                <w:rFonts w:ascii="Times New Roman" w:eastAsia="Times New Roman" w:hAnsi="Times New Roman"/>
                <w:sz w:val="20"/>
                <w:szCs w:val="20"/>
                <w:lang w:eastAsia="it-IT"/>
              </w:rPr>
            </w:pPr>
          </w:p>
        </w:tc>
        <w:tc>
          <w:tcPr>
            <w:tcW w:w="740" w:type="dxa"/>
            <w:tcBorders>
              <w:top w:val="nil"/>
              <w:left w:val="nil"/>
              <w:bottom w:val="single" w:sz="8" w:space="0" w:color="auto"/>
              <w:right w:val="nil"/>
            </w:tcBorders>
            <w:noWrap/>
            <w:tcMar>
              <w:top w:w="0" w:type="dxa"/>
              <w:left w:w="70" w:type="dxa"/>
              <w:bottom w:w="0" w:type="dxa"/>
              <w:right w:w="70" w:type="dxa"/>
            </w:tcMar>
            <w:vAlign w:val="center"/>
            <w:hideMark/>
          </w:tcPr>
          <w:p w:rsidR="007C7FF3" w:rsidRDefault="007C7FF3">
            <w:pPr>
              <w:pStyle w:val="TabellaIntestazione"/>
              <w:rPr>
                <w:lang w:eastAsia="en-US"/>
              </w:rPr>
            </w:pPr>
            <w:r>
              <w:rPr>
                <w:lang w:eastAsia="en-US"/>
              </w:rPr>
              <w:t>2011</w:t>
            </w:r>
          </w:p>
        </w:tc>
        <w:tc>
          <w:tcPr>
            <w:tcW w:w="741" w:type="dxa"/>
            <w:tcBorders>
              <w:top w:val="nil"/>
              <w:left w:val="nil"/>
              <w:bottom w:val="single" w:sz="8" w:space="0" w:color="auto"/>
              <w:right w:val="nil"/>
            </w:tcBorders>
            <w:noWrap/>
            <w:tcMar>
              <w:top w:w="0" w:type="dxa"/>
              <w:left w:w="70" w:type="dxa"/>
              <w:bottom w:w="0" w:type="dxa"/>
              <w:right w:w="70" w:type="dxa"/>
            </w:tcMar>
            <w:vAlign w:val="center"/>
            <w:hideMark/>
          </w:tcPr>
          <w:p w:rsidR="007C7FF3" w:rsidRDefault="007C7FF3">
            <w:pPr>
              <w:pStyle w:val="TabellaIntestazione"/>
              <w:rPr>
                <w:lang w:eastAsia="en-US"/>
              </w:rPr>
            </w:pPr>
            <w:r>
              <w:rPr>
                <w:lang w:eastAsia="en-US"/>
              </w:rPr>
              <w:t>2012</w:t>
            </w:r>
          </w:p>
        </w:tc>
        <w:tc>
          <w:tcPr>
            <w:tcW w:w="739" w:type="dxa"/>
            <w:tcBorders>
              <w:top w:val="nil"/>
              <w:left w:val="nil"/>
              <w:bottom w:val="single" w:sz="8" w:space="0" w:color="auto"/>
              <w:right w:val="nil"/>
            </w:tcBorders>
            <w:noWrap/>
            <w:tcMar>
              <w:top w:w="0" w:type="dxa"/>
              <w:left w:w="70" w:type="dxa"/>
              <w:bottom w:w="0" w:type="dxa"/>
              <w:right w:w="70" w:type="dxa"/>
            </w:tcMar>
            <w:vAlign w:val="center"/>
            <w:hideMark/>
          </w:tcPr>
          <w:p w:rsidR="007C7FF3" w:rsidRDefault="007C7FF3">
            <w:pPr>
              <w:pStyle w:val="TabellaIntestazione"/>
              <w:rPr>
                <w:lang w:eastAsia="en-US"/>
              </w:rPr>
            </w:pPr>
            <w:r>
              <w:rPr>
                <w:lang w:eastAsia="en-US"/>
              </w:rPr>
              <w:t>2013</w:t>
            </w:r>
          </w:p>
        </w:tc>
        <w:tc>
          <w:tcPr>
            <w:tcW w:w="740" w:type="dxa"/>
            <w:tcBorders>
              <w:top w:val="nil"/>
              <w:left w:val="nil"/>
              <w:bottom w:val="single" w:sz="8" w:space="0" w:color="auto"/>
              <w:right w:val="nil"/>
            </w:tcBorders>
            <w:noWrap/>
            <w:tcMar>
              <w:top w:w="0" w:type="dxa"/>
              <w:left w:w="70" w:type="dxa"/>
              <w:bottom w:w="0" w:type="dxa"/>
              <w:right w:w="70" w:type="dxa"/>
            </w:tcMar>
            <w:vAlign w:val="center"/>
            <w:hideMark/>
          </w:tcPr>
          <w:p w:rsidR="007C7FF3" w:rsidRDefault="007C7FF3">
            <w:pPr>
              <w:pStyle w:val="TabellaIntestazione"/>
              <w:rPr>
                <w:lang w:eastAsia="en-US"/>
              </w:rPr>
            </w:pPr>
            <w:r>
              <w:rPr>
                <w:lang w:eastAsia="en-US"/>
              </w:rPr>
              <w:t>2014</w:t>
            </w:r>
          </w:p>
        </w:tc>
        <w:tc>
          <w:tcPr>
            <w:tcW w:w="739" w:type="dxa"/>
            <w:tcBorders>
              <w:top w:val="nil"/>
              <w:left w:val="nil"/>
              <w:bottom w:val="single" w:sz="8" w:space="0" w:color="auto"/>
              <w:right w:val="nil"/>
            </w:tcBorders>
            <w:noWrap/>
            <w:tcMar>
              <w:top w:w="0" w:type="dxa"/>
              <w:left w:w="70" w:type="dxa"/>
              <w:bottom w:w="0" w:type="dxa"/>
              <w:right w:w="70" w:type="dxa"/>
            </w:tcMar>
            <w:vAlign w:val="center"/>
            <w:hideMark/>
          </w:tcPr>
          <w:p w:rsidR="007C7FF3" w:rsidRDefault="007C7FF3">
            <w:pPr>
              <w:pStyle w:val="TabellaIntestazione"/>
              <w:rPr>
                <w:lang w:eastAsia="en-US"/>
              </w:rPr>
            </w:pPr>
            <w:r>
              <w:rPr>
                <w:lang w:eastAsia="en-US"/>
              </w:rPr>
              <w:t>2015</w:t>
            </w:r>
          </w:p>
        </w:tc>
        <w:tc>
          <w:tcPr>
            <w:tcW w:w="740" w:type="dxa"/>
            <w:tcBorders>
              <w:top w:val="nil"/>
              <w:left w:val="nil"/>
              <w:bottom w:val="single" w:sz="8" w:space="0" w:color="auto"/>
              <w:right w:val="nil"/>
            </w:tcBorders>
            <w:noWrap/>
            <w:tcMar>
              <w:top w:w="0" w:type="dxa"/>
              <w:left w:w="70" w:type="dxa"/>
              <w:bottom w:w="0" w:type="dxa"/>
              <w:right w:w="70" w:type="dxa"/>
            </w:tcMar>
            <w:vAlign w:val="center"/>
            <w:hideMark/>
          </w:tcPr>
          <w:p w:rsidR="007C7FF3" w:rsidRDefault="007C7FF3">
            <w:pPr>
              <w:pStyle w:val="TabellaIntestazione"/>
              <w:rPr>
                <w:lang w:eastAsia="en-US"/>
              </w:rPr>
            </w:pPr>
            <w:r>
              <w:rPr>
                <w:lang w:eastAsia="en-US"/>
              </w:rPr>
              <w:t>2016</w:t>
            </w:r>
          </w:p>
        </w:tc>
        <w:tc>
          <w:tcPr>
            <w:tcW w:w="739" w:type="dxa"/>
            <w:tcBorders>
              <w:top w:val="nil"/>
              <w:left w:val="nil"/>
              <w:bottom w:val="single" w:sz="8" w:space="0" w:color="auto"/>
              <w:right w:val="nil"/>
            </w:tcBorders>
            <w:noWrap/>
            <w:tcMar>
              <w:top w:w="0" w:type="dxa"/>
              <w:left w:w="70" w:type="dxa"/>
              <w:bottom w:w="0" w:type="dxa"/>
              <w:right w:w="70" w:type="dxa"/>
            </w:tcMar>
            <w:vAlign w:val="center"/>
            <w:hideMark/>
          </w:tcPr>
          <w:p w:rsidR="007C7FF3" w:rsidRDefault="007C7FF3">
            <w:pPr>
              <w:pStyle w:val="TabellaIntestazione"/>
              <w:rPr>
                <w:lang w:eastAsia="en-US"/>
              </w:rPr>
            </w:pPr>
            <w:r>
              <w:rPr>
                <w:lang w:eastAsia="en-US"/>
              </w:rPr>
              <w:t>2017</w:t>
            </w:r>
          </w:p>
        </w:tc>
        <w:tc>
          <w:tcPr>
            <w:tcW w:w="740" w:type="dxa"/>
            <w:tcBorders>
              <w:top w:val="nil"/>
              <w:left w:val="nil"/>
              <w:bottom w:val="single" w:sz="8" w:space="0" w:color="auto"/>
              <w:right w:val="nil"/>
            </w:tcBorders>
            <w:noWrap/>
            <w:tcMar>
              <w:top w:w="0" w:type="dxa"/>
              <w:left w:w="70" w:type="dxa"/>
              <w:bottom w:w="0" w:type="dxa"/>
              <w:right w:w="70" w:type="dxa"/>
            </w:tcMar>
            <w:vAlign w:val="center"/>
            <w:hideMark/>
          </w:tcPr>
          <w:p w:rsidR="007C7FF3" w:rsidRDefault="007C7FF3">
            <w:pPr>
              <w:pStyle w:val="TabellaIntestazione"/>
              <w:rPr>
                <w:lang w:eastAsia="en-US"/>
              </w:rPr>
            </w:pPr>
            <w:r>
              <w:rPr>
                <w:lang w:eastAsia="en-US"/>
              </w:rPr>
              <w:t>2018</w:t>
            </w:r>
          </w:p>
        </w:tc>
      </w:tr>
      <w:tr w:rsidR="007C7FF3" w:rsidTr="007C7FF3">
        <w:trPr>
          <w:trHeight w:val="295"/>
        </w:trPr>
        <w:tc>
          <w:tcPr>
            <w:tcW w:w="1843" w:type="dxa"/>
            <w:tcBorders>
              <w:top w:val="nil"/>
              <w:left w:val="nil"/>
              <w:bottom w:val="single" w:sz="8" w:space="0" w:color="auto"/>
              <w:right w:val="nil"/>
            </w:tcBorders>
            <w:noWrap/>
            <w:tcMar>
              <w:top w:w="0" w:type="dxa"/>
              <w:left w:w="70" w:type="dxa"/>
              <w:bottom w:w="0" w:type="dxa"/>
              <w:right w:w="70" w:type="dxa"/>
            </w:tcMar>
            <w:vAlign w:val="center"/>
            <w:hideMark/>
          </w:tcPr>
          <w:p w:rsidR="007C7FF3" w:rsidRDefault="007C7FF3">
            <w:pPr>
              <w:pStyle w:val="TabellaIntestazione"/>
              <w:rPr>
                <w:lang w:eastAsia="en-US"/>
              </w:rPr>
            </w:pPr>
            <w:r>
              <w:rPr>
                <w:lang w:eastAsia="en-US"/>
              </w:rPr>
              <w:lastRenderedPageBreak/>
              <w:t> </w:t>
            </w:r>
          </w:p>
        </w:tc>
        <w:tc>
          <w:tcPr>
            <w:tcW w:w="5918" w:type="dxa"/>
            <w:gridSpan w:val="8"/>
            <w:tcBorders>
              <w:top w:val="nil"/>
              <w:left w:val="nil"/>
              <w:bottom w:val="single" w:sz="8" w:space="0" w:color="auto"/>
              <w:right w:val="nil"/>
            </w:tcBorders>
            <w:noWrap/>
            <w:tcMar>
              <w:top w:w="0" w:type="dxa"/>
              <w:left w:w="70" w:type="dxa"/>
              <w:bottom w:w="0" w:type="dxa"/>
              <w:right w:w="70" w:type="dxa"/>
            </w:tcMar>
            <w:vAlign w:val="center"/>
            <w:hideMark/>
          </w:tcPr>
          <w:p w:rsidR="007C7FF3" w:rsidRDefault="007C7FF3">
            <w:pPr>
              <w:pStyle w:val="TabellaIntestazione"/>
              <w:rPr>
                <w:lang w:eastAsia="en-US"/>
              </w:rPr>
            </w:pPr>
            <w:r>
              <w:rPr>
                <w:lang w:eastAsia="en-US"/>
              </w:rPr>
              <w:t>milioni di euro</w:t>
            </w:r>
          </w:p>
        </w:tc>
      </w:tr>
      <w:tr w:rsidR="007C7FF3" w:rsidTr="007C7FF3">
        <w:trPr>
          <w:trHeight w:val="283"/>
        </w:trPr>
        <w:tc>
          <w:tcPr>
            <w:tcW w:w="1843" w:type="dxa"/>
            <w:tcMar>
              <w:top w:w="0" w:type="dxa"/>
              <w:left w:w="70" w:type="dxa"/>
              <w:bottom w:w="0" w:type="dxa"/>
              <w:right w:w="70" w:type="dxa"/>
            </w:tcMar>
            <w:vAlign w:val="bottom"/>
            <w:hideMark/>
          </w:tcPr>
          <w:p w:rsidR="007C7FF3" w:rsidRDefault="007C7FF3">
            <w:pPr>
              <w:spacing w:line="240" w:lineRule="auto"/>
              <w:ind w:firstLine="0"/>
              <w:jc w:val="lef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 xml:space="preserve">1.Totale spesa </w:t>
            </w:r>
          </w:p>
        </w:tc>
        <w:tc>
          <w:tcPr>
            <w:tcW w:w="740"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787.176</w:t>
            </w:r>
          </w:p>
        </w:tc>
        <w:tc>
          <w:tcPr>
            <w:tcW w:w="741"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794.509</w:t>
            </w:r>
          </w:p>
        </w:tc>
        <w:tc>
          <w:tcPr>
            <w:tcW w:w="739"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792.200</w:t>
            </w:r>
          </w:p>
        </w:tc>
        <w:tc>
          <w:tcPr>
            <w:tcW w:w="740"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802.639</w:t>
            </w:r>
          </w:p>
        </w:tc>
        <w:tc>
          <w:tcPr>
            <w:tcW w:w="739"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811.352</w:t>
            </w:r>
          </w:p>
        </w:tc>
        <w:tc>
          <w:tcPr>
            <w:tcW w:w="740"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822.243</w:t>
            </w:r>
          </w:p>
        </w:tc>
        <w:tc>
          <w:tcPr>
            <w:tcW w:w="739"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832.076</w:t>
            </w:r>
          </w:p>
        </w:tc>
        <w:tc>
          <w:tcPr>
            <w:tcW w:w="740"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845.599</w:t>
            </w:r>
          </w:p>
        </w:tc>
      </w:tr>
      <w:tr w:rsidR="007C7FF3" w:rsidTr="007C7FF3">
        <w:trPr>
          <w:trHeight w:val="283"/>
        </w:trPr>
        <w:tc>
          <w:tcPr>
            <w:tcW w:w="1843" w:type="dxa"/>
            <w:tcMar>
              <w:top w:w="0" w:type="dxa"/>
              <w:left w:w="70" w:type="dxa"/>
              <w:bottom w:w="0" w:type="dxa"/>
              <w:right w:w="70" w:type="dxa"/>
            </w:tcMar>
            <w:vAlign w:val="bottom"/>
            <w:hideMark/>
          </w:tcPr>
          <w:p w:rsidR="007C7FF3" w:rsidRDefault="007C7FF3">
            <w:pPr>
              <w:spacing w:line="240" w:lineRule="auto"/>
              <w:ind w:firstLine="0"/>
              <w:jc w:val="lef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2.Maggiori spese a politica invariata</w:t>
            </w:r>
          </w:p>
        </w:tc>
        <w:tc>
          <w:tcPr>
            <w:tcW w:w="740"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0</w:t>
            </w:r>
          </w:p>
        </w:tc>
        <w:tc>
          <w:tcPr>
            <w:tcW w:w="741"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0</w:t>
            </w:r>
          </w:p>
        </w:tc>
        <w:tc>
          <w:tcPr>
            <w:tcW w:w="739"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0</w:t>
            </w:r>
          </w:p>
        </w:tc>
        <w:tc>
          <w:tcPr>
            <w:tcW w:w="740"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1.350</w:t>
            </w:r>
          </w:p>
        </w:tc>
        <w:tc>
          <w:tcPr>
            <w:tcW w:w="739"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7.077</w:t>
            </w:r>
          </w:p>
        </w:tc>
        <w:tc>
          <w:tcPr>
            <w:tcW w:w="740"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9.834</w:t>
            </w:r>
          </w:p>
        </w:tc>
        <w:tc>
          <w:tcPr>
            <w:tcW w:w="739"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11.478</w:t>
            </w:r>
          </w:p>
        </w:tc>
        <w:tc>
          <w:tcPr>
            <w:tcW w:w="740"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13.495</w:t>
            </w:r>
          </w:p>
        </w:tc>
      </w:tr>
      <w:tr w:rsidR="007C7FF3" w:rsidTr="007C7FF3">
        <w:trPr>
          <w:trHeight w:val="283"/>
        </w:trPr>
        <w:tc>
          <w:tcPr>
            <w:tcW w:w="1843" w:type="dxa"/>
            <w:tcMar>
              <w:top w:w="0" w:type="dxa"/>
              <w:left w:w="70" w:type="dxa"/>
              <w:bottom w:w="0" w:type="dxa"/>
              <w:right w:w="70" w:type="dxa"/>
            </w:tcMar>
            <w:vAlign w:val="bottom"/>
            <w:hideMark/>
          </w:tcPr>
          <w:p w:rsidR="007C7FF3" w:rsidRDefault="007C7FF3">
            <w:pPr>
              <w:spacing w:line="240" w:lineRule="auto"/>
              <w:ind w:firstLine="0"/>
              <w:jc w:val="lef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3.Spese finanziate da UE</w:t>
            </w:r>
          </w:p>
        </w:tc>
        <w:tc>
          <w:tcPr>
            <w:tcW w:w="740"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3.508</w:t>
            </w:r>
          </w:p>
        </w:tc>
        <w:tc>
          <w:tcPr>
            <w:tcW w:w="741"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4.499</w:t>
            </w:r>
          </w:p>
        </w:tc>
        <w:tc>
          <w:tcPr>
            <w:tcW w:w="739"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4.630</w:t>
            </w:r>
          </w:p>
        </w:tc>
        <w:tc>
          <w:tcPr>
            <w:tcW w:w="740"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4.300</w:t>
            </w:r>
          </w:p>
        </w:tc>
        <w:tc>
          <w:tcPr>
            <w:tcW w:w="739"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5.000</w:t>
            </w:r>
          </w:p>
        </w:tc>
        <w:tc>
          <w:tcPr>
            <w:tcW w:w="740"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5.500</w:t>
            </w:r>
          </w:p>
        </w:tc>
        <w:tc>
          <w:tcPr>
            <w:tcW w:w="739"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4.500</w:t>
            </w:r>
          </w:p>
        </w:tc>
        <w:tc>
          <w:tcPr>
            <w:tcW w:w="740"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4.300</w:t>
            </w:r>
          </w:p>
        </w:tc>
      </w:tr>
      <w:tr w:rsidR="007C7FF3" w:rsidTr="007C7FF3">
        <w:trPr>
          <w:trHeight w:val="283"/>
        </w:trPr>
        <w:tc>
          <w:tcPr>
            <w:tcW w:w="1843" w:type="dxa"/>
            <w:tcMar>
              <w:top w:w="0" w:type="dxa"/>
              <w:left w:w="70" w:type="dxa"/>
              <w:bottom w:w="0" w:type="dxa"/>
              <w:right w:w="70" w:type="dxa"/>
            </w:tcMar>
            <w:vAlign w:val="bottom"/>
            <w:hideMark/>
          </w:tcPr>
          <w:p w:rsidR="007C7FF3" w:rsidRDefault="007C7FF3">
            <w:pPr>
              <w:spacing w:line="240" w:lineRule="auto"/>
              <w:ind w:firstLine="0"/>
              <w:jc w:val="lef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 xml:space="preserve">4. Componente ciclica dei sussidi di disoccupazione </w:t>
            </w:r>
          </w:p>
        </w:tc>
        <w:tc>
          <w:tcPr>
            <w:tcW w:w="740"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551</w:t>
            </w:r>
          </w:p>
        </w:tc>
        <w:tc>
          <w:tcPr>
            <w:tcW w:w="741"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1.336</w:t>
            </w:r>
          </w:p>
        </w:tc>
        <w:tc>
          <w:tcPr>
            <w:tcW w:w="739"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2.263</w:t>
            </w:r>
          </w:p>
        </w:tc>
        <w:tc>
          <w:tcPr>
            <w:tcW w:w="740"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1.978</w:t>
            </w:r>
          </w:p>
        </w:tc>
        <w:tc>
          <w:tcPr>
            <w:tcW w:w="739"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1.390</w:t>
            </w:r>
          </w:p>
        </w:tc>
        <w:tc>
          <w:tcPr>
            <w:tcW w:w="740"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817</w:t>
            </w:r>
          </w:p>
        </w:tc>
        <w:tc>
          <w:tcPr>
            <w:tcW w:w="739"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264</w:t>
            </w:r>
          </w:p>
        </w:tc>
        <w:tc>
          <w:tcPr>
            <w:tcW w:w="740"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-294</w:t>
            </w:r>
          </w:p>
        </w:tc>
      </w:tr>
      <w:tr w:rsidR="007C7FF3" w:rsidTr="007C7FF3">
        <w:trPr>
          <w:trHeight w:val="283"/>
        </w:trPr>
        <w:tc>
          <w:tcPr>
            <w:tcW w:w="1843" w:type="dxa"/>
            <w:tcMar>
              <w:top w:w="0" w:type="dxa"/>
              <w:left w:w="70" w:type="dxa"/>
              <w:bottom w:w="0" w:type="dxa"/>
              <w:right w:w="70" w:type="dxa"/>
            </w:tcMar>
            <w:vAlign w:val="bottom"/>
            <w:hideMark/>
          </w:tcPr>
          <w:p w:rsidR="007C7FF3" w:rsidRDefault="007C7FF3">
            <w:pPr>
              <w:spacing w:line="240" w:lineRule="auto"/>
              <w:ind w:firstLine="0"/>
              <w:jc w:val="lef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5.Interessi</w:t>
            </w:r>
          </w:p>
        </w:tc>
        <w:tc>
          <w:tcPr>
            <w:tcW w:w="740"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78.397</w:t>
            </w:r>
          </w:p>
        </w:tc>
        <w:tc>
          <w:tcPr>
            <w:tcW w:w="741"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86.474</w:t>
            </w:r>
          </w:p>
        </w:tc>
        <w:tc>
          <w:tcPr>
            <w:tcW w:w="739"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82.043</w:t>
            </w:r>
          </w:p>
        </w:tc>
        <w:tc>
          <w:tcPr>
            <w:tcW w:w="740"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82.550</w:t>
            </w:r>
          </w:p>
        </w:tc>
        <w:tc>
          <w:tcPr>
            <w:tcW w:w="739"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82.096</w:t>
            </w:r>
          </w:p>
        </w:tc>
        <w:tc>
          <w:tcPr>
            <w:tcW w:w="740"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85.339</w:t>
            </w:r>
          </w:p>
        </w:tc>
        <w:tc>
          <w:tcPr>
            <w:tcW w:w="739"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85.379</w:t>
            </w:r>
          </w:p>
        </w:tc>
        <w:tc>
          <w:tcPr>
            <w:tcW w:w="740"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85.502</w:t>
            </w:r>
          </w:p>
        </w:tc>
      </w:tr>
      <w:tr w:rsidR="007C7FF3" w:rsidTr="007C7FF3">
        <w:trPr>
          <w:trHeight w:val="283"/>
        </w:trPr>
        <w:tc>
          <w:tcPr>
            <w:tcW w:w="1843" w:type="dxa"/>
            <w:tcMar>
              <w:top w:w="0" w:type="dxa"/>
              <w:left w:w="70" w:type="dxa"/>
              <w:bottom w:w="0" w:type="dxa"/>
              <w:right w:w="70" w:type="dxa"/>
            </w:tcMar>
            <w:vAlign w:val="bottom"/>
            <w:hideMark/>
          </w:tcPr>
          <w:p w:rsidR="007C7FF3" w:rsidRDefault="007C7FF3">
            <w:pPr>
              <w:spacing w:line="240" w:lineRule="auto"/>
              <w:ind w:firstLine="0"/>
              <w:jc w:val="lef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6.Investimenti fissi lordi</w:t>
            </w:r>
          </w:p>
        </w:tc>
        <w:tc>
          <w:tcPr>
            <w:tcW w:w="740"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31.907</w:t>
            </w:r>
          </w:p>
        </w:tc>
        <w:tc>
          <w:tcPr>
            <w:tcW w:w="741"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29.979</w:t>
            </w:r>
          </w:p>
        </w:tc>
        <w:tc>
          <w:tcPr>
            <w:tcW w:w="739"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27.132</w:t>
            </w:r>
          </w:p>
        </w:tc>
        <w:tc>
          <w:tcPr>
            <w:tcW w:w="740"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25.730</w:t>
            </w:r>
          </w:p>
        </w:tc>
        <w:tc>
          <w:tcPr>
            <w:tcW w:w="739"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24.835</w:t>
            </w:r>
          </w:p>
        </w:tc>
        <w:tc>
          <w:tcPr>
            <w:tcW w:w="740"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24.453</w:t>
            </w:r>
          </w:p>
        </w:tc>
        <w:tc>
          <w:tcPr>
            <w:tcW w:w="739"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24.857</w:t>
            </w:r>
          </w:p>
        </w:tc>
        <w:tc>
          <w:tcPr>
            <w:tcW w:w="740"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25.019</w:t>
            </w:r>
          </w:p>
        </w:tc>
      </w:tr>
      <w:tr w:rsidR="007C7FF3" w:rsidTr="007C7FF3">
        <w:trPr>
          <w:trHeight w:val="283"/>
        </w:trPr>
        <w:tc>
          <w:tcPr>
            <w:tcW w:w="1843" w:type="dxa"/>
            <w:tcMar>
              <w:top w:w="0" w:type="dxa"/>
              <w:left w:w="70" w:type="dxa"/>
              <w:bottom w:w="0" w:type="dxa"/>
              <w:right w:w="70" w:type="dxa"/>
            </w:tcMar>
            <w:vAlign w:val="bottom"/>
            <w:hideMark/>
          </w:tcPr>
          <w:p w:rsidR="007C7FF3" w:rsidRDefault="007C7FF3">
            <w:pPr>
              <w:spacing w:line="240" w:lineRule="auto"/>
              <w:ind w:firstLine="0"/>
              <w:jc w:val="lef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 xml:space="preserve">7.Investimenti fissi lordi - media sugli ultimi 4 anni </w:t>
            </w:r>
          </w:p>
        </w:tc>
        <w:tc>
          <w:tcPr>
            <w:tcW w:w="740"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34.691</w:t>
            </w:r>
          </w:p>
        </w:tc>
        <w:tc>
          <w:tcPr>
            <w:tcW w:w="741"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33.380</w:t>
            </w:r>
          </w:p>
        </w:tc>
        <w:tc>
          <w:tcPr>
            <w:tcW w:w="739"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30.578</w:t>
            </w:r>
          </w:p>
        </w:tc>
        <w:tc>
          <w:tcPr>
            <w:tcW w:w="740"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28.687</w:t>
            </w:r>
          </w:p>
        </w:tc>
        <w:tc>
          <w:tcPr>
            <w:tcW w:w="739"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26.919</w:t>
            </w:r>
          </w:p>
        </w:tc>
        <w:tc>
          <w:tcPr>
            <w:tcW w:w="740"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25.538</w:t>
            </w:r>
          </w:p>
        </w:tc>
        <w:tc>
          <w:tcPr>
            <w:tcW w:w="739"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24.969</w:t>
            </w:r>
          </w:p>
        </w:tc>
        <w:tc>
          <w:tcPr>
            <w:tcW w:w="740"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24.791</w:t>
            </w:r>
          </w:p>
        </w:tc>
      </w:tr>
      <w:tr w:rsidR="007C7FF3" w:rsidTr="007C7FF3">
        <w:trPr>
          <w:trHeight w:val="283"/>
        </w:trPr>
        <w:tc>
          <w:tcPr>
            <w:tcW w:w="1843" w:type="dxa"/>
            <w:tcMar>
              <w:top w:w="0" w:type="dxa"/>
              <w:left w:w="70" w:type="dxa"/>
              <w:bottom w:w="0" w:type="dxa"/>
              <w:right w:w="70" w:type="dxa"/>
            </w:tcMar>
            <w:vAlign w:val="bottom"/>
            <w:hideMark/>
          </w:tcPr>
          <w:p w:rsidR="007C7FF3" w:rsidRDefault="007C7FF3">
            <w:pPr>
              <w:spacing w:line="240" w:lineRule="auto"/>
              <w:ind w:firstLine="0"/>
              <w:jc w:val="lef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8.</w:t>
            </w:r>
            <w:r>
              <w:rPr>
                <w:rFonts w:ascii="Franklin Gothic Book" w:hAnsi="Franklin Gothic Book"/>
                <w:i/>
                <w:iCs/>
                <w:color w:val="000000"/>
                <w:sz w:val="15"/>
                <w:szCs w:val="15"/>
                <w:lang w:eastAsia="it-IT"/>
              </w:rPr>
              <w:t>Step 1</w:t>
            </w:r>
            <w:r>
              <w:rPr>
                <w:rFonts w:ascii="Franklin Gothic Book" w:hAnsi="Franklin Gothic Book"/>
                <w:color w:val="000000"/>
                <w:sz w:val="15"/>
                <w:szCs w:val="15"/>
                <w:lang w:eastAsia="it-IT"/>
              </w:rPr>
              <w:t>: Aggregato di spesa di riferimento (1+2-3-4-5-6+7)</w:t>
            </w:r>
          </w:p>
        </w:tc>
        <w:tc>
          <w:tcPr>
            <w:tcW w:w="740"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707.505</w:t>
            </w:r>
          </w:p>
        </w:tc>
        <w:tc>
          <w:tcPr>
            <w:tcW w:w="741"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705.600</w:t>
            </w:r>
          </w:p>
        </w:tc>
        <w:tc>
          <w:tcPr>
            <w:tcW w:w="739"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706.711</w:t>
            </w:r>
          </w:p>
        </w:tc>
        <w:tc>
          <w:tcPr>
            <w:tcW w:w="740"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718.118</w:t>
            </w:r>
          </w:p>
        </w:tc>
        <w:tc>
          <w:tcPr>
            <w:tcW w:w="739"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732.027</w:t>
            </w:r>
          </w:p>
        </w:tc>
        <w:tc>
          <w:tcPr>
            <w:tcW w:w="740"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741.505</w:t>
            </w:r>
          </w:p>
        </w:tc>
        <w:tc>
          <w:tcPr>
            <w:tcW w:w="739"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753.523</w:t>
            </w:r>
          </w:p>
        </w:tc>
        <w:tc>
          <w:tcPr>
            <w:tcW w:w="740"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769.358</w:t>
            </w:r>
          </w:p>
        </w:tc>
      </w:tr>
      <w:tr w:rsidR="007C7FF3" w:rsidTr="007C7FF3">
        <w:trPr>
          <w:trHeight w:val="283"/>
        </w:trPr>
        <w:tc>
          <w:tcPr>
            <w:tcW w:w="1843" w:type="dxa"/>
            <w:noWrap/>
            <w:tcMar>
              <w:top w:w="0" w:type="dxa"/>
              <w:left w:w="70" w:type="dxa"/>
              <w:bottom w:w="0" w:type="dxa"/>
              <w:right w:w="70" w:type="dxa"/>
            </w:tcMar>
            <w:vAlign w:val="bottom"/>
            <w:hideMark/>
          </w:tcPr>
          <w:p w:rsidR="007C7FF3" w:rsidRDefault="007C7FF3">
            <w:pPr>
              <w:spacing w:line="240" w:lineRule="auto"/>
              <w:ind w:firstLine="0"/>
              <w:jc w:val="left"/>
              <w:rPr>
                <w:rFonts w:ascii="Franklin Gothic Book" w:hAnsi="Franklin Gothic Book"/>
                <w:sz w:val="15"/>
                <w:szCs w:val="15"/>
                <w:lang w:eastAsia="it-IT"/>
              </w:rPr>
            </w:pPr>
            <w:r>
              <w:rPr>
                <w:rFonts w:ascii="Franklin Gothic Book" w:hAnsi="Franklin Gothic Book"/>
                <w:sz w:val="15"/>
                <w:szCs w:val="15"/>
                <w:lang w:eastAsia="it-IT"/>
              </w:rPr>
              <w:t>9.Variazioni entrate discrezionali e contributi sociali</w:t>
            </w:r>
          </w:p>
        </w:tc>
        <w:tc>
          <w:tcPr>
            <w:tcW w:w="740"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4.365</w:t>
            </w:r>
          </w:p>
        </w:tc>
        <w:tc>
          <w:tcPr>
            <w:tcW w:w="741"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15.643</w:t>
            </w:r>
          </w:p>
        </w:tc>
        <w:tc>
          <w:tcPr>
            <w:tcW w:w="739"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4.303</w:t>
            </w:r>
          </w:p>
        </w:tc>
        <w:tc>
          <w:tcPr>
            <w:tcW w:w="740"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5.451</w:t>
            </w:r>
          </w:p>
        </w:tc>
        <w:tc>
          <w:tcPr>
            <w:tcW w:w="739"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-2.037</w:t>
            </w:r>
          </w:p>
        </w:tc>
        <w:tc>
          <w:tcPr>
            <w:tcW w:w="740"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1.611</w:t>
            </w:r>
          </w:p>
        </w:tc>
        <w:tc>
          <w:tcPr>
            <w:tcW w:w="739"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2.284</w:t>
            </w:r>
          </w:p>
        </w:tc>
        <w:tc>
          <w:tcPr>
            <w:tcW w:w="740"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-353</w:t>
            </w:r>
          </w:p>
        </w:tc>
      </w:tr>
      <w:tr w:rsidR="007C7FF3" w:rsidTr="007C7FF3">
        <w:trPr>
          <w:trHeight w:val="283"/>
        </w:trPr>
        <w:tc>
          <w:tcPr>
            <w:tcW w:w="1843" w:type="dxa"/>
            <w:tcMar>
              <w:top w:w="0" w:type="dxa"/>
              <w:left w:w="70" w:type="dxa"/>
              <w:bottom w:w="0" w:type="dxa"/>
              <w:right w:w="70" w:type="dxa"/>
            </w:tcMar>
            <w:vAlign w:val="bottom"/>
            <w:hideMark/>
          </w:tcPr>
          <w:p w:rsidR="007C7FF3" w:rsidRDefault="007C7FF3">
            <w:pPr>
              <w:spacing w:line="240" w:lineRule="auto"/>
              <w:ind w:firstLine="0"/>
              <w:jc w:val="lef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10.</w:t>
            </w:r>
            <w:r>
              <w:rPr>
                <w:rFonts w:ascii="Franklin Gothic Book" w:hAnsi="Franklin Gothic Book"/>
                <w:i/>
                <w:iCs/>
                <w:color w:val="000000"/>
                <w:sz w:val="15"/>
                <w:szCs w:val="15"/>
                <w:lang w:eastAsia="it-IT"/>
              </w:rPr>
              <w:t>Step 2</w:t>
            </w:r>
            <w:r>
              <w:rPr>
                <w:rFonts w:ascii="Franklin Gothic Book" w:hAnsi="Franklin Gothic Book"/>
                <w:color w:val="000000"/>
                <w:sz w:val="15"/>
                <w:szCs w:val="15"/>
                <w:lang w:eastAsia="it-IT"/>
              </w:rPr>
              <w:t>: Aggregato di spesa di riferimento (8-9)</w:t>
            </w:r>
          </w:p>
        </w:tc>
        <w:tc>
          <w:tcPr>
            <w:tcW w:w="740"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703.140</w:t>
            </w:r>
          </w:p>
        </w:tc>
        <w:tc>
          <w:tcPr>
            <w:tcW w:w="741"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689.958</w:t>
            </w:r>
          </w:p>
        </w:tc>
        <w:tc>
          <w:tcPr>
            <w:tcW w:w="739"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702.408</w:t>
            </w:r>
          </w:p>
        </w:tc>
        <w:tc>
          <w:tcPr>
            <w:tcW w:w="740"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712.667</w:t>
            </w:r>
          </w:p>
        </w:tc>
        <w:tc>
          <w:tcPr>
            <w:tcW w:w="739"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734.064</w:t>
            </w:r>
          </w:p>
        </w:tc>
        <w:tc>
          <w:tcPr>
            <w:tcW w:w="740"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739.894</w:t>
            </w:r>
          </w:p>
        </w:tc>
        <w:tc>
          <w:tcPr>
            <w:tcW w:w="739"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751.239</w:t>
            </w:r>
          </w:p>
        </w:tc>
        <w:tc>
          <w:tcPr>
            <w:tcW w:w="740" w:type="dxa"/>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769.711</w:t>
            </w:r>
          </w:p>
        </w:tc>
      </w:tr>
      <w:tr w:rsidR="007C7FF3" w:rsidTr="007C7FF3">
        <w:trPr>
          <w:trHeight w:val="283"/>
        </w:trPr>
        <w:tc>
          <w:tcPr>
            <w:tcW w:w="1843" w:type="dxa"/>
            <w:tcBorders>
              <w:top w:val="nil"/>
              <w:left w:val="nil"/>
              <w:bottom w:val="single" w:sz="8" w:space="0" w:color="auto"/>
              <w:right w:val="nil"/>
            </w:tcBorders>
            <w:tcMar>
              <w:top w:w="0" w:type="dxa"/>
              <w:left w:w="70" w:type="dxa"/>
              <w:bottom w:w="0" w:type="dxa"/>
              <w:right w:w="70" w:type="dxa"/>
            </w:tcMar>
            <w:vAlign w:val="bottom"/>
            <w:hideMark/>
          </w:tcPr>
          <w:p w:rsidR="007C7FF3" w:rsidRDefault="007C7FF3">
            <w:pPr>
              <w:spacing w:line="240" w:lineRule="auto"/>
              <w:ind w:firstLine="0"/>
              <w:jc w:val="lef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11.Step 3: Tasso di crescita dell'aggregato di spesa in termini nominali</w:t>
            </w:r>
          </w:p>
        </w:tc>
        <w:tc>
          <w:tcPr>
            <w:tcW w:w="740" w:type="dxa"/>
            <w:tcBorders>
              <w:top w:val="nil"/>
              <w:left w:val="nil"/>
              <w:bottom w:val="single" w:sz="8" w:space="0" w:color="auto"/>
              <w:right w:val="nil"/>
            </w:tcBorders>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-1,30</w:t>
            </w:r>
          </w:p>
        </w:tc>
        <w:tc>
          <w:tcPr>
            <w:tcW w:w="741" w:type="dxa"/>
            <w:tcBorders>
              <w:top w:val="nil"/>
              <w:left w:val="nil"/>
              <w:bottom w:val="single" w:sz="8" w:space="0" w:color="auto"/>
              <w:right w:val="nil"/>
            </w:tcBorders>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-2,48</w:t>
            </w:r>
          </w:p>
        </w:tc>
        <w:tc>
          <w:tcPr>
            <w:tcW w:w="739" w:type="dxa"/>
            <w:tcBorders>
              <w:top w:val="nil"/>
              <w:left w:val="nil"/>
              <w:bottom w:val="single" w:sz="8" w:space="0" w:color="auto"/>
              <w:right w:val="nil"/>
            </w:tcBorders>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-0,45</w:t>
            </w:r>
          </w:p>
        </w:tc>
        <w:tc>
          <w:tcPr>
            <w:tcW w:w="740" w:type="dxa"/>
            <w:tcBorders>
              <w:top w:val="nil"/>
              <w:left w:val="nil"/>
              <w:bottom w:val="single" w:sz="8" w:space="0" w:color="auto"/>
              <w:right w:val="nil"/>
            </w:tcBorders>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0,84</w:t>
            </w:r>
          </w:p>
        </w:tc>
        <w:tc>
          <w:tcPr>
            <w:tcW w:w="739" w:type="dxa"/>
            <w:tcBorders>
              <w:top w:val="nil"/>
              <w:left w:val="nil"/>
              <w:bottom w:val="single" w:sz="8" w:space="0" w:color="auto"/>
              <w:right w:val="nil"/>
            </w:tcBorders>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2,22</w:t>
            </w:r>
          </w:p>
        </w:tc>
        <w:tc>
          <w:tcPr>
            <w:tcW w:w="740" w:type="dxa"/>
            <w:tcBorders>
              <w:top w:val="nil"/>
              <w:left w:val="nil"/>
              <w:bottom w:val="single" w:sz="8" w:space="0" w:color="auto"/>
              <w:right w:val="nil"/>
            </w:tcBorders>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1,07</w:t>
            </w:r>
          </w:p>
        </w:tc>
        <w:tc>
          <w:tcPr>
            <w:tcW w:w="739" w:type="dxa"/>
            <w:tcBorders>
              <w:top w:val="nil"/>
              <w:left w:val="nil"/>
              <w:bottom w:val="single" w:sz="8" w:space="0" w:color="auto"/>
              <w:right w:val="nil"/>
            </w:tcBorders>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1,31</w:t>
            </w:r>
          </w:p>
        </w:tc>
        <w:tc>
          <w:tcPr>
            <w:tcW w:w="740" w:type="dxa"/>
            <w:tcBorders>
              <w:top w:val="nil"/>
              <w:left w:val="nil"/>
              <w:bottom w:val="single" w:sz="8" w:space="0" w:color="auto"/>
              <w:right w:val="nil"/>
            </w:tcBorders>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2,15</w:t>
            </w:r>
          </w:p>
        </w:tc>
      </w:tr>
      <w:tr w:rsidR="007C7FF3" w:rsidTr="007C7FF3">
        <w:trPr>
          <w:trHeight w:val="283"/>
        </w:trPr>
        <w:tc>
          <w:tcPr>
            <w:tcW w:w="1843" w:type="dxa"/>
            <w:tcBorders>
              <w:top w:val="nil"/>
              <w:left w:val="nil"/>
              <w:bottom w:val="single" w:sz="8" w:space="0" w:color="auto"/>
              <w:right w:val="nil"/>
            </w:tcBorders>
            <w:tcMar>
              <w:top w:w="0" w:type="dxa"/>
              <w:left w:w="70" w:type="dxa"/>
              <w:bottom w:w="0" w:type="dxa"/>
              <w:right w:w="70" w:type="dxa"/>
            </w:tcMar>
            <w:vAlign w:val="bottom"/>
            <w:hideMark/>
          </w:tcPr>
          <w:p w:rsidR="007C7FF3" w:rsidRDefault="007C7FF3">
            <w:pPr>
              <w:spacing w:line="240" w:lineRule="auto"/>
              <w:ind w:firstLine="0"/>
              <w:jc w:val="lef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 xml:space="preserve">12. </w:t>
            </w:r>
            <w:proofErr w:type="spellStart"/>
            <w:r>
              <w:rPr>
                <w:rFonts w:ascii="Franklin Gothic Book" w:hAnsi="Franklin Gothic Book"/>
                <w:i/>
                <w:iCs/>
                <w:color w:val="000000"/>
                <w:sz w:val="15"/>
                <w:szCs w:val="15"/>
                <w:lang w:eastAsia="it-IT"/>
              </w:rPr>
              <w:t>Step</w:t>
            </w:r>
            <w:proofErr w:type="spellEnd"/>
            <w:r>
              <w:rPr>
                <w:rFonts w:ascii="Franklin Gothic Book" w:hAnsi="Franklin Gothic Book"/>
                <w:i/>
                <w:iCs/>
                <w:color w:val="000000"/>
                <w:sz w:val="15"/>
                <w:szCs w:val="15"/>
                <w:lang w:eastAsia="it-IT"/>
              </w:rPr>
              <w:t xml:space="preserve"> 4</w:t>
            </w:r>
            <w:r>
              <w:rPr>
                <w:rFonts w:ascii="Franklin Gothic Book" w:hAnsi="Franklin Gothic Book"/>
                <w:color w:val="000000"/>
                <w:sz w:val="15"/>
                <w:szCs w:val="15"/>
                <w:lang w:eastAsia="it-IT"/>
              </w:rPr>
              <w:t>: Tasso di crescita dell'aggregato di spesa in termini reali</w:t>
            </w:r>
          </w:p>
        </w:tc>
        <w:tc>
          <w:tcPr>
            <w:tcW w:w="740" w:type="dxa"/>
            <w:tcBorders>
              <w:top w:val="nil"/>
              <w:left w:val="nil"/>
              <w:bottom w:val="single" w:sz="8" w:space="0" w:color="auto"/>
              <w:right w:val="nil"/>
            </w:tcBorders>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-3,20</w:t>
            </w:r>
          </w:p>
        </w:tc>
        <w:tc>
          <w:tcPr>
            <w:tcW w:w="741" w:type="dxa"/>
            <w:tcBorders>
              <w:top w:val="nil"/>
              <w:left w:val="nil"/>
              <w:bottom w:val="single" w:sz="8" w:space="0" w:color="auto"/>
              <w:right w:val="nil"/>
            </w:tcBorders>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-4,38</w:t>
            </w:r>
          </w:p>
        </w:tc>
        <w:tc>
          <w:tcPr>
            <w:tcW w:w="739" w:type="dxa"/>
            <w:tcBorders>
              <w:top w:val="nil"/>
              <w:left w:val="nil"/>
              <w:bottom w:val="single" w:sz="8" w:space="0" w:color="auto"/>
              <w:right w:val="nil"/>
            </w:tcBorders>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-2,35</w:t>
            </w:r>
          </w:p>
        </w:tc>
        <w:tc>
          <w:tcPr>
            <w:tcW w:w="740" w:type="dxa"/>
            <w:tcBorders>
              <w:top w:val="nil"/>
              <w:left w:val="nil"/>
              <w:bottom w:val="single" w:sz="8" w:space="0" w:color="auto"/>
              <w:right w:val="nil"/>
            </w:tcBorders>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-0,64</w:t>
            </w:r>
          </w:p>
        </w:tc>
        <w:tc>
          <w:tcPr>
            <w:tcW w:w="739" w:type="dxa"/>
            <w:tcBorders>
              <w:top w:val="nil"/>
              <w:left w:val="nil"/>
              <w:bottom w:val="single" w:sz="8" w:space="0" w:color="auto"/>
              <w:right w:val="nil"/>
            </w:tcBorders>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0,74</w:t>
            </w:r>
          </w:p>
        </w:tc>
        <w:tc>
          <w:tcPr>
            <w:tcW w:w="740" w:type="dxa"/>
            <w:tcBorders>
              <w:top w:val="nil"/>
              <w:left w:val="nil"/>
              <w:bottom w:val="single" w:sz="8" w:space="0" w:color="auto"/>
              <w:right w:val="nil"/>
            </w:tcBorders>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-0,41</w:t>
            </w:r>
          </w:p>
        </w:tc>
        <w:tc>
          <w:tcPr>
            <w:tcW w:w="739" w:type="dxa"/>
            <w:tcBorders>
              <w:top w:val="nil"/>
              <w:left w:val="nil"/>
              <w:bottom w:val="single" w:sz="8" w:space="0" w:color="auto"/>
              <w:right w:val="nil"/>
            </w:tcBorders>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-0,15</w:t>
            </w:r>
          </w:p>
        </w:tc>
        <w:tc>
          <w:tcPr>
            <w:tcW w:w="740" w:type="dxa"/>
            <w:tcBorders>
              <w:top w:val="nil"/>
              <w:left w:val="nil"/>
              <w:bottom w:val="single" w:sz="8" w:space="0" w:color="auto"/>
              <w:right w:val="nil"/>
            </w:tcBorders>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0,69</w:t>
            </w:r>
          </w:p>
        </w:tc>
      </w:tr>
      <w:tr w:rsidR="007C7FF3" w:rsidTr="007C7FF3">
        <w:trPr>
          <w:trHeight w:val="283"/>
        </w:trPr>
        <w:tc>
          <w:tcPr>
            <w:tcW w:w="1843" w:type="dxa"/>
            <w:tcBorders>
              <w:top w:val="nil"/>
              <w:left w:val="nil"/>
              <w:bottom w:val="single" w:sz="8" w:space="0" w:color="auto"/>
              <w:right w:val="nil"/>
            </w:tcBorders>
            <w:tcMar>
              <w:top w:w="0" w:type="dxa"/>
              <w:left w:w="70" w:type="dxa"/>
              <w:bottom w:w="0" w:type="dxa"/>
              <w:right w:w="70" w:type="dxa"/>
            </w:tcMar>
            <w:vAlign w:val="bottom"/>
            <w:hideMark/>
          </w:tcPr>
          <w:p w:rsidR="007C7FF3" w:rsidRDefault="007C7FF3">
            <w:pPr>
              <w:spacing w:line="240" w:lineRule="auto"/>
              <w:ind w:firstLine="0"/>
              <w:jc w:val="lef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 xml:space="preserve">13. </w:t>
            </w:r>
            <w:r>
              <w:rPr>
                <w:rFonts w:ascii="Franklin Gothic Book" w:hAnsi="Franklin Gothic Book"/>
                <w:i/>
                <w:iCs/>
                <w:color w:val="000000"/>
                <w:sz w:val="15"/>
                <w:szCs w:val="15"/>
                <w:lang w:eastAsia="it-IT"/>
              </w:rPr>
              <w:t>Benchmark</w:t>
            </w:r>
            <w:r>
              <w:rPr>
                <w:rFonts w:ascii="Franklin Gothic Book" w:hAnsi="Franklin Gothic Book"/>
                <w:i/>
                <w:iCs/>
                <w:color w:val="000000"/>
                <w:sz w:val="15"/>
                <w:szCs w:val="15"/>
                <w:lang w:eastAsia="it-IT"/>
              </w:rPr>
              <w:br w:type="textWrapping" w:clear="all"/>
            </w:r>
            <w:r>
              <w:rPr>
                <w:rFonts w:ascii="Franklin Gothic Book" w:hAnsi="Franklin Gothic Book"/>
                <w:color w:val="000000"/>
                <w:sz w:val="15"/>
                <w:szCs w:val="15"/>
                <w:lang w:eastAsia="it-IT"/>
              </w:rPr>
              <w:t>(limite massimo alla crescita dell’aggregato di spesa)</w:t>
            </w:r>
          </w:p>
        </w:tc>
        <w:tc>
          <w:tcPr>
            <w:tcW w:w="740" w:type="dxa"/>
            <w:tcBorders>
              <w:top w:val="nil"/>
              <w:left w:val="nil"/>
              <w:bottom w:val="single" w:sz="8" w:space="0" w:color="auto"/>
              <w:right w:val="nil"/>
            </w:tcBorders>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-0,81</w:t>
            </w:r>
          </w:p>
        </w:tc>
        <w:tc>
          <w:tcPr>
            <w:tcW w:w="741" w:type="dxa"/>
            <w:tcBorders>
              <w:top w:val="nil"/>
              <w:left w:val="nil"/>
              <w:bottom w:val="single" w:sz="8" w:space="0" w:color="auto"/>
              <w:right w:val="nil"/>
            </w:tcBorders>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-0,81</w:t>
            </w:r>
          </w:p>
        </w:tc>
        <w:tc>
          <w:tcPr>
            <w:tcW w:w="739" w:type="dxa"/>
            <w:tcBorders>
              <w:top w:val="nil"/>
              <w:left w:val="nil"/>
              <w:bottom w:val="single" w:sz="8" w:space="0" w:color="auto"/>
              <w:right w:val="nil"/>
            </w:tcBorders>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-0,81</w:t>
            </w:r>
          </w:p>
        </w:tc>
        <w:tc>
          <w:tcPr>
            <w:tcW w:w="740" w:type="dxa"/>
            <w:tcBorders>
              <w:top w:val="nil"/>
              <w:left w:val="nil"/>
              <w:bottom w:val="single" w:sz="8" w:space="0" w:color="auto"/>
              <w:right w:val="nil"/>
            </w:tcBorders>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-1,07</w:t>
            </w:r>
          </w:p>
        </w:tc>
        <w:tc>
          <w:tcPr>
            <w:tcW w:w="739" w:type="dxa"/>
            <w:tcBorders>
              <w:top w:val="nil"/>
              <w:left w:val="nil"/>
              <w:bottom w:val="single" w:sz="8" w:space="0" w:color="auto"/>
              <w:right w:val="nil"/>
            </w:tcBorders>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-1,07</w:t>
            </w:r>
          </w:p>
        </w:tc>
        <w:tc>
          <w:tcPr>
            <w:tcW w:w="740" w:type="dxa"/>
            <w:tcBorders>
              <w:top w:val="nil"/>
              <w:left w:val="nil"/>
              <w:bottom w:val="single" w:sz="8" w:space="0" w:color="auto"/>
              <w:right w:val="nil"/>
            </w:tcBorders>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-1,07</w:t>
            </w:r>
          </w:p>
        </w:tc>
        <w:tc>
          <w:tcPr>
            <w:tcW w:w="739" w:type="dxa"/>
            <w:tcBorders>
              <w:top w:val="nil"/>
              <w:left w:val="nil"/>
              <w:bottom w:val="single" w:sz="8" w:space="0" w:color="auto"/>
              <w:right w:val="nil"/>
            </w:tcBorders>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0,0</w:t>
            </w:r>
          </w:p>
        </w:tc>
        <w:tc>
          <w:tcPr>
            <w:tcW w:w="740" w:type="dxa"/>
            <w:tcBorders>
              <w:top w:val="nil"/>
              <w:left w:val="nil"/>
              <w:bottom w:val="single" w:sz="8" w:space="0" w:color="auto"/>
              <w:right w:val="nil"/>
            </w:tcBorders>
            <w:noWrap/>
            <w:tcMar>
              <w:top w:w="0" w:type="dxa"/>
              <w:left w:w="70" w:type="dxa"/>
              <w:bottom w:w="0" w:type="dxa"/>
              <w:right w:w="70" w:type="dxa"/>
            </w:tcMar>
            <w:vAlign w:val="bottom"/>
            <w:hideMark/>
          </w:tcPr>
          <w:p w:rsidR="007C7FF3" w:rsidRDefault="007C7FF3">
            <w:pPr>
              <w:spacing w:line="240" w:lineRule="auto"/>
              <w:ind w:firstLine="0"/>
              <w:jc w:val="right"/>
              <w:rPr>
                <w:rFonts w:ascii="Franklin Gothic Book" w:hAnsi="Franklin Gothic Book"/>
                <w:color w:val="000000"/>
                <w:sz w:val="15"/>
                <w:szCs w:val="15"/>
                <w:lang w:eastAsia="it-IT"/>
              </w:rPr>
            </w:pPr>
            <w:r>
              <w:rPr>
                <w:rFonts w:ascii="Franklin Gothic Book" w:hAnsi="Franklin Gothic Book"/>
                <w:color w:val="000000"/>
                <w:sz w:val="15"/>
                <w:szCs w:val="15"/>
                <w:lang w:eastAsia="it-IT"/>
              </w:rPr>
              <w:t>0,0</w:t>
            </w:r>
          </w:p>
        </w:tc>
      </w:tr>
      <w:tr w:rsidR="007C7FF3" w:rsidTr="007C7FF3">
        <w:trPr>
          <w:trHeight w:val="113"/>
        </w:trPr>
        <w:tc>
          <w:tcPr>
            <w:tcW w:w="7761" w:type="dxa"/>
            <w:gridSpan w:val="9"/>
            <w:tcBorders>
              <w:top w:val="nil"/>
              <w:left w:val="nil"/>
              <w:bottom w:val="single" w:sz="12" w:space="0" w:color="4F81BD"/>
              <w:right w:val="nil"/>
            </w:tcBorders>
            <w:tcMar>
              <w:top w:w="0" w:type="dxa"/>
              <w:left w:w="70" w:type="dxa"/>
              <w:bottom w:w="0" w:type="dxa"/>
              <w:right w:w="70" w:type="dxa"/>
            </w:tcMar>
            <w:vAlign w:val="center"/>
            <w:hideMark/>
          </w:tcPr>
          <w:p w:rsidR="007C7FF3" w:rsidRDefault="007C7FF3">
            <w:pPr>
              <w:spacing w:before="40" w:after="40" w:line="240" w:lineRule="auto"/>
              <w:ind w:firstLine="0"/>
              <w:rPr>
                <w:rFonts w:ascii="Franklin Gothic Book" w:hAnsi="Franklin Gothic Book"/>
                <w:color w:val="000000"/>
                <w:sz w:val="15"/>
                <w:szCs w:val="15"/>
                <w:lang w:eastAsia="it-IT"/>
              </w:rPr>
            </w:pPr>
            <w:r>
              <w:rPr>
                <w:rFonts w:ascii="Franklin Gothic Book" w:hAnsi="Franklin Gothic Book"/>
                <w:sz w:val="15"/>
                <w:szCs w:val="15"/>
                <w:lang w:eastAsia="it-IT"/>
              </w:rPr>
              <w:t>1) L'aggregato di spesa di riferimento è coerente con i valori presentati nel conto della P.A (tavola III.2), sottraendo al totale delle spese a politiche invariate l’ammontare della spesa per interessi, delle spese finanziate con fondi UE, la componente ciclica delle indennità di disoccupazione e considerando la spesa media per investimenti (calcolata sull’anno in corso e i precedenti tre anni). Sono inoltre sottratte le misure discrezionali sulle entrate e i contributi sociali (tavola III.3). Il tasso di crescita della spesa di riferimento è stato deflazionato per mezzo dei tassi forniti dalla Commissione negli anni 2011-2015, mentre negli anni successivi è stato utilizzato il tasso di crescita del deflatore del PIL esposto nella tavola II.2b.</w:t>
            </w:r>
          </w:p>
        </w:tc>
      </w:tr>
    </w:tbl>
    <w:p w:rsidR="007C7FF3" w:rsidRDefault="007C7FF3" w:rsidP="007C7FF3">
      <w:pPr>
        <w:pStyle w:val="Nessunaspaziatura"/>
        <w:rPr>
          <w:rFonts w:ascii="Calibri" w:hAnsi="Calibri"/>
          <w:lang w:eastAsia="en-US"/>
        </w:rPr>
      </w:pPr>
    </w:p>
    <w:p w:rsidR="007C7FF3" w:rsidRDefault="007C7FF3" w:rsidP="007C7FF3">
      <w:pPr>
        <w:pStyle w:val="Nessunaspaziatura"/>
      </w:pPr>
      <w:r>
        <w:t>                                                                         Elio Lannutti (Presidente Adusbef)</w:t>
      </w:r>
    </w:p>
    <w:p w:rsidR="007C7FF3" w:rsidRDefault="007C7FF3" w:rsidP="007C7FF3">
      <w:pPr>
        <w:pStyle w:val="Nessunaspaziatura"/>
        <w:ind w:left="426"/>
      </w:pPr>
      <w:r>
        <w:t>Roma, 10.4.2014</w:t>
      </w:r>
    </w:p>
    <w:p w:rsidR="00C200C3" w:rsidRDefault="00C200C3"/>
    <w:sectPr w:rsidR="00C200C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Franklin Gothic Heavy">
    <w:panose1 w:val="020B09030201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51984"/>
    <w:multiLevelType w:val="hybridMultilevel"/>
    <w:tmpl w:val="10E0E804"/>
    <w:lvl w:ilvl="0" w:tplc="0F324F8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78"/>
  <w:proofState w:spelling="clean"/>
  <w:defaultTabStop w:val="708"/>
  <w:hyphenationZone w:val="283"/>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FF3"/>
    <w:rsid w:val="00073741"/>
    <w:rsid w:val="00130235"/>
    <w:rsid w:val="001A3C40"/>
    <w:rsid w:val="001D07B7"/>
    <w:rsid w:val="001D0D71"/>
    <w:rsid w:val="002E4C34"/>
    <w:rsid w:val="00370059"/>
    <w:rsid w:val="00424BEE"/>
    <w:rsid w:val="004B0A7D"/>
    <w:rsid w:val="004B75D8"/>
    <w:rsid w:val="004F322C"/>
    <w:rsid w:val="005057D6"/>
    <w:rsid w:val="00516D55"/>
    <w:rsid w:val="00535F48"/>
    <w:rsid w:val="005F3BF0"/>
    <w:rsid w:val="00632BCB"/>
    <w:rsid w:val="007339EC"/>
    <w:rsid w:val="00754201"/>
    <w:rsid w:val="007C7FF3"/>
    <w:rsid w:val="00873879"/>
    <w:rsid w:val="0094402A"/>
    <w:rsid w:val="0098615F"/>
    <w:rsid w:val="009B4EA1"/>
    <w:rsid w:val="00A42182"/>
    <w:rsid w:val="00B03057"/>
    <w:rsid w:val="00B35AE5"/>
    <w:rsid w:val="00B90F78"/>
    <w:rsid w:val="00C200C3"/>
    <w:rsid w:val="00C55771"/>
    <w:rsid w:val="00C76E16"/>
    <w:rsid w:val="00C848D3"/>
    <w:rsid w:val="00D05D56"/>
    <w:rsid w:val="00D07FAE"/>
    <w:rsid w:val="00D136AC"/>
    <w:rsid w:val="00D709E1"/>
    <w:rsid w:val="00DB5BBF"/>
    <w:rsid w:val="00E612FB"/>
    <w:rsid w:val="00EE7D98"/>
    <w:rsid w:val="00F43ED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heme="minorHAnsi" w:hAnsi="Century Gothic" w:cs="Times New Roman"/>
        <w:bCs/>
        <w:iCs/>
        <w:kern w:val="36"/>
        <w:sz w:val="22"/>
        <w:szCs w:val="22"/>
        <w:lang w:val="it-IT" w:eastAsia="en-US" w:bidi="ar-SA"/>
      </w:rPr>
    </w:rPrDefault>
    <w:pPrDefault>
      <w:pPr>
        <w:spacing w:before="120"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C7FF3"/>
    <w:pPr>
      <w:spacing w:before="0" w:after="0" w:line="252" w:lineRule="auto"/>
      <w:ind w:firstLine="454"/>
    </w:pPr>
    <w:rPr>
      <w:rFonts w:ascii="Trebuchet MS" w:hAnsi="Trebuchet MS"/>
      <w:bCs w:val="0"/>
      <w:iCs w:val="0"/>
      <w:kern w:val="0"/>
    </w:rPr>
  </w:style>
  <w:style w:type="paragraph" w:styleId="Titolo1">
    <w:name w:val="heading 1"/>
    <w:basedOn w:val="Normale"/>
    <w:link w:val="Titolo1Carattere"/>
    <w:uiPriority w:val="9"/>
    <w:qFormat/>
    <w:rsid w:val="00535F48"/>
    <w:pPr>
      <w:keepNext/>
      <w:spacing w:before="240" w:after="60" w:line="240" w:lineRule="auto"/>
      <w:ind w:left="480" w:right="34" w:firstLine="0"/>
      <w:jc w:val="center"/>
      <w:outlineLvl w:val="0"/>
    </w:pPr>
    <w:rPr>
      <w:rFonts w:ascii="Century Gothic" w:hAnsi="Century Gothic" w:cs="Century Gothic"/>
      <w:b/>
      <w:bCs/>
      <w:color w:val="17365D" w:themeColor="text2" w:themeShade="BF"/>
      <w:sz w:val="32"/>
      <w:szCs w:val="32"/>
      <w:lang w:eastAsia="it-IT"/>
    </w:rPr>
  </w:style>
  <w:style w:type="paragraph" w:styleId="Titolo2">
    <w:name w:val="heading 2"/>
    <w:basedOn w:val="Normale"/>
    <w:link w:val="Titolo2Carattere"/>
    <w:qFormat/>
    <w:rsid w:val="00535F48"/>
    <w:pPr>
      <w:keepNext/>
      <w:spacing w:before="240" w:after="60" w:line="240" w:lineRule="auto"/>
      <w:ind w:firstLine="0"/>
      <w:jc w:val="center"/>
      <w:outlineLvl w:val="1"/>
    </w:pPr>
    <w:rPr>
      <w:rFonts w:ascii="Century Gothic" w:eastAsiaTheme="minorEastAsia" w:hAnsi="Century Gothic" w:cs="Century Gothic"/>
      <w:b/>
      <w:bCs/>
      <w:iCs/>
      <w:color w:val="17365D" w:themeColor="text2" w:themeShade="BF"/>
      <w:kern w:val="36"/>
      <w:sz w:val="28"/>
      <w:szCs w:val="16"/>
      <w:lang w:eastAsia="it-IT"/>
    </w:rPr>
  </w:style>
  <w:style w:type="paragraph" w:styleId="Titolo3">
    <w:name w:val="heading 3"/>
    <w:basedOn w:val="Normale"/>
    <w:link w:val="Titolo3Carattere"/>
    <w:uiPriority w:val="9"/>
    <w:qFormat/>
    <w:rsid w:val="00535F48"/>
    <w:pPr>
      <w:keepNext/>
      <w:spacing w:before="240" w:after="60" w:line="240" w:lineRule="auto"/>
      <w:ind w:firstLine="0"/>
      <w:jc w:val="center"/>
      <w:outlineLvl w:val="2"/>
    </w:pPr>
    <w:rPr>
      <w:rFonts w:ascii="Century Gothic" w:hAnsi="Century Gothic" w:cs="Century Gothic"/>
      <w:b/>
      <w:bCs/>
      <w:color w:val="17365D" w:themeColor="text2" w:themeShade="BF"/>
      <w:sz w:val="24"/>
      <w:szCs w:val="24"/>
      <w:lang w:eastAsia="it-IT"/>
    </w:rPr>
  </w:style>
  <w:style w:type="paragraph" w:styleId="Titolo4">
    <w:name w:val="heading 4"/>
    <w:basedOn w:val="Normale"/>
    <w:link w:val="Titolo4Carattere"/>
    <w:uiPriority w:val="9"/>
    <w:qFormat/>
    <w:rsid w:val="00535F48"/>
    <w:pPr>
      <w:keepNext/>
      <w:spacing w:before="240" w:after="60" w:line="240" w:lineRule="auto"/>
      <w:ind w:firstLine="0"/>
      <w:jc w:val="left"/>
      <w:outlineLvl w:val="3"/>
    </w:pPr>
    <w:rPr>
      <w:rFonts w:ascii="Century Gothic" w:hAnsi="Century Gothic"/>
      <w:b/>
      <w:bCs/>
      <w:color w:val="17365D" w:themeColor="text2" w:themeShade="BF"/>
      <w:sz w:val="24"/>
      <w:szCs w:val="28"/>
      <w:lang w:eastAsia="it-IT"/>
    </w:rPr>
  </w:style>
  <w:style w:type="paragraph" w:styleId="Titolo6">
    <w:name w:val="heading 6"/>
    <w:basedOn w:val="Normale"/>
    <w:link w:val="Titolo6Carattere"/>
    <w:uiPriority w:val="9"/>
    <w:qFormat/>
    <w:rsid w:val="00130235"/>
    <w:pPr>
      <w:spacing w:before="240" w:after="60" w:line="240" w:lineRule="auto"/>
      <w:ind w:firstLine="0"/>
      <w:outlineLvl w:val="5"/>
    </w:pPr>
    <w:rPr>
      <w:rFonts w:ascii="Times New Roman" w:hAnsi="Times New Roman"/>
      <w:b/>
      <w:bCs/>
      <w:color w:val="17365D" w:themeColor="text2" w:themeShade="BF"/>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line="240" w:lineRule="auto"/>
      <w:ind w:firstLine="0"/>
    </w:pPr>
    <w:rPr>
      <w:rFonts w:ascii="Century Gothic" w:eastAsia="Times New Roman" w:hAnsi="Century Gothic" w:cs="Century Gothic"/>
      <w:bCs/>
      <w:iCs/>
      <w:color w:val="17365D" w:themeColor="text2" w:themeShade="BF"/>
      <w:kern w:val="36"/>
      <w:sz w:val="24"/>
      <w:szCs w:val="24"/>
      <w:lang w:eastAsia="it-IT"/>
    </w:rPr>
  </w:style>
  <w:style w:type="character" w:customStyle="1" w:styleId="Titolo1Carattere">
    <w:name w:val="Titolo 1 Carattere"/>
    <w:basedOn w:val="Carpredefinitoparagrafo"/>
    <w:link w:val="Titolo1"/>
    <w:uiPriority w:val="9"/>
    <w:rsid w:val="00535F48"/>
    <w:rPr>
      <w:rFonts w:cs="Century Gothic"/>
      <w:b/>
      <w:iCs w:val="0"/>
      <w:color w:val="17365D" w:themeColor="text2" w:themeShade="BF"/>
      <w:kern w:val="0"/>
      <w:sz w:val="32"/>
      <w:szCs w:val="32"/>
      <w:lang w:eastAsia="it-IT"/>
    </w:rPr>
  </w:style>
  <w:style w:type="paragraph" w:styleId="Titolo">
    <w:name w:val="Title"/>
    <w:basedOn w:val="Normale"/>
    <w:link w:val="TitoloCarattere"/>
    <w:uiPriority w:val="10"/>
    <w:qFormat/>
    <w:rsid w:val="001D0D71"/>
    <w:pPr>
      <w:spacing w:before="240" w:after="60" w:line="240" w:lineRule="auto"/>
      <w:ind w:firstLine="0"/>
      <w:jc w:val="center"/>
    </w:pPr>
    <w:rPr>
      <w:rFonts w:ascii="Century Gothic" w:hAnsi="Century Gothic" w:cs="Arial"/>
      <w:b/>
      <w:bCs/>
      <w:color w:val="17365D" w:themeColor="text2" w:themeShade="BF"/>
      <w:sz w:val="34"/>
      <w:szCs w:val="32"/>
      <w:lang w:eastAsia="it-IT"/>
    </w:rPr>
  </w:style>
  <w:style w:type="character" w:customStyle="1" w:styleId="TitoloCarattere">
    <w:name w:val="Titolo Carattere"/>
    <w:basedOn w:val="Carpredefinitoparagrafo"/>
    <w:link w:val="Titolo"/>
    <w:uiPriority w:val="10"/>
    <w:rsid w:val="001D0D71"/>
    <w:rPr>
      <w:rFonts w:cs="Arial"/>
      <w:b/>
      <w:iCs w:val="0"/>
      <w:color w:val="17365D" w:themeColor="text2" w:themeShade="BF"/>
      <w:kern w:val="0"/>
      <w:sz w:val="34"/>
      <w:szCs w:val="32"/>
      <w:lang w:eastAsia="it-IT"/>
    </w:rPr>
  </w:style>
  <w:style w:type="paragraph" w:styleId="Sottotitolo">
    <w:name w:val="Subtitle"/>
    <w:basedOn w:val="Normale"/>
    <w:next w:val="Normale"/>
    <w:link w:val="SottotitoloCarattere"/>
    <w:uiPriority w:val="11"/>
    <w:qFormat/>
    <w:rsid w:val="00130235"/>
    <w:pPr>
      <w:numPr>
        <w:ilvl w:val="1"/>
      </w:numPr>
      <w:spacing w:before="120" w:after="120" w:line="240" w:lineRule="auto"/>
      <w:ind w:left="600" w:firstLine="567"/>
    </w:pPr>
    <w:rPr>
      <w:rFonts w:asciiTheme="majorHAnsi" w:eastAsiaTheme="majorEastAsia" w:hAnsiTheme="majorHAnsi" w:cstheme="majorBidi"/>
      <w:i/>
      <w:iCs/>
      <w:color w:val="4F81BD" w:themeColor="accent1"/>
      <w:spacing w:val="15"/>
      <w:sz w:val="24"/>
      <w:szCs w:val="24"/>
      <w:lang w:eastAsia="it-IT"/>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line="240" w:lineRule="auto"/>
      <w:ind w:left="170" w:right="-39" w:firstLine="0"/>
    </w:pPr>
    <w:rPr>
      <w:rFonts w:ascii="Century Gothic" w:hAnsi="Century Gothic" w:cs="Century Gothic"/>
      <w:color w:val="17365D" w:themeColor="text2" w:themeShade="BF"/>
      <w:sz w:val="24"/>
      <w:szCs w:val="24"/>
      <w:lang w:eastAsia="it-IT"/>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535F48"/>
    <w:rPr>
      <w:rFonts w:eastAsiaTheme="minorEastAsia" w:cs="Century Gothic"/>
      <w:b/>
      <w:color w:val="17365D" w:themeColor="text2" w:themeShade="BF"/>
      <w:sz w:val="28"/>
      <w:szCs w:val="16"/>
      <w:lang w:eastAsia="it-IT"/>
    </w:rPr>
  </w:style>
  <w:style w:type="character" w:customStyle="1" w:styleId="Titolo3Carattere">
    <w:name w:val="Titolo 3 Carattere"/>
    <w:basedOn w:val="Carpredefinitoparagrafo"/>
    <w:link w:val="Titolo3"/>
    <w:uiPriority w:val="9"/>
    <w:rsid w:val="00535F48"/>
    <w:rPr>
      <w:rFonts w:cs="Century Gothic"/>
      <w:b/>
      <w:iCs w:val="0"/>
      <w:color w:val="17365D" w:themeColor="text2" w:themeShade="BF"/>
      <w:kern w:val="0"/>
      <w:sz w:val="24"/>
      <w:szCs w:val="24"/>
      <w:lang w:eastAsia="it-IT"/>
    </w:rPr>
  </w:style>
  <w:style w:type="character" w:customStyle="1" w:styleId="Titolo4Carattere">
    <w:name w:val="Titolo 4 Carattere"/>
    <w:basedOn w:val="Carpredefinitoparagrafo"/>
    <w:link w:val="Titolo4"/>
    <w:uiPriority w:val="9"/>
    <w:rsid w:val="00535F48"/>
    <w:rPr>
      <w:b/>
      <w:iCs w:val="0"/>
      <w:color w:val="17365D" w:themeColor="text2" w:themeShade="BF"/>
      <w:kern w:val="0"/>
      <w:sz w:val="24"/>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before="120" w:after="120" w:line="240" w:lineRule="auto"/>
      <w:ind w:right="-2" w:firstLine="0"/>
    </w:pPr>
    <w:rPr>
      <w:rFonts w:ascii="Century Gothic" w:hAnsi="Century Gothic"/>
      <w:color w:val="17365D" w:themeColor="text2" w:themeShade="BF"/>
      <w:sz w:val="24"/>
      <w:szCs w:val="24"/>
      <w:lang w:eastAsia="it-IT"/>
    </w:rPr>
  </w:style>
  <w:style w:type="paragraph" w:styleId="Sommario3">
    <w:name w:val="toc 3"/>
    <w:basedOn w:val="Normale"/>
    <w:autoRedefine/>
    <w:uiPriority w:val="39"/>
    <w:semiHidden/>
    <w:unhideWhenUsed/>
    <w:rsid w:val="00130235"/>
    <w:pPr>
      <w:spacing w:before="120" w:after="120" w:line="240" w:lineRule="auto"/>
      <w:ind w:left="440" w:firstLine="0"/>
    </w:pPr>
    <w:rPr>
      <w:rFonts w:ascii="Times New Roman" w:hAnsi="Times New Roman"/>
      <w:color w:val="17365D" w:themeColor="text2" w:themeShade="BF"/>
      <w:sz w:val="24"/>
      <w:szCs w:val="24"/>
      <w:lang w:eastAsia="it-IT"/>
    </w:rPr>
  </w:style>
  <w:style w:type="paragraph" w:styleId="Testonotaapidipagina">
    <w:name w:val="footnote text"/>
    <w:basedOn w:val="Normale"/>
    <w:link w:val="TestonotaapidipaginaCarattere"/>
    <w:uiPriority w:val="99"/>
    <w:semiHidden/>
    <w:unhideWhenUsed/>
    <w:rsid w:val="00130235"/>
    <w:pPr>
      <w:spacing w:before="120" w:after="120" w:line="240" w:lineRule="auto"/>
      <w:ind w:firstLine="0"/>
    </w:pPr>
    <w:rPr>
      <w:rFonts w:ascii="Times New Roman" w:hAnsi="Times New Roman"/>
      <w:color w:val="17365D" w:themeColor="text2" w:themeShade="BF"/>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before="120" w:after="120" w:line="240" w:lineRule="auto"/>
      <w:ind w:firstLine="0"/>
    </w:pPr>
    <w:rPr>
      <w:rFonts w:ascii="Times New Roman" w:hAnsi="Times New Roman"/>
      <w:color w:val="17365D" w:themeColor="text2" w:themeShade="BF"/>
      <w:sz w:val="24"/>
      <w:szCs w:val="24"/>
      <w:lang w:eastAsia="it-IT"/>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before="120" w:after="120" w:line="240" w:lineRule="auto"/>
      <w:ind w:firstLine="0"/>
    </w:pPr>
    <w:rPr>
      <w:rFonts w:ascii="Times New Roman" w:hAnsi="Times New Roman"/>
      <w:color w:val="17365D" w:themeColor="text2" w:themeShade="BF"/>
      <w:sz w:val="24"/>
      <w:szCs w:val="24"/>
      <w:lang w:eastAsia="it-IT"/>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before="120" w:after="120" w:line="240" w:lineRule="auto"/>
      <w:ind w:firstLine="0"/>
    </w:pPr>
    <w:rPr>
      <w:rFonts w:ascii="Century Gothic" w:hAnsi="Century Gothic"/>
      <w:color w:val="17365D" w:themeColor="text2" w:themeShade="BF"/>
      <w:sz w:val="24"/>
      <w:szCs w:val="24"/>
      <w:lang w:eastAsia="it-IT"/>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before="120" w:after="120" w:line="240" w:lineRule="auto"/>
      <w:ind w:left="480" w:firstLine="0"/>
    </w:pPr>
    <w:rPr>
      <w:rFonts w:ascii="Century Gothic" w:hAnsi="Century Gothic"/>
      <w:color w:val="FF0000"/>
      <w:sz w:val="18"/>
      <w:szCs w:val="18"/>
      <w:lang w:eastAsia="it-IT"/>
    </w:rPr>
  </w:style>
  <w:style w:type="paragraph" w:styleId="Testonormale">
    <w:name w:val="Plain Text"/>
    <w:basedOn w:val="Normale"/>
    <w:link w:val="TestonormaleCarattere"/>
    <w:uiPriority w:val="99"/>
    <w:semiHidden/>
    <w:unhideWhenUsed/>
    <w:rsid w:val="00130235"/>
    <w:pPr>
      <w:spacing w:before="120" w:after="120" w:line="240" w:lineRule="auto"/>
      <w:ind w:firstLine="0"/>
    </w:pPr>
    <w:rPr>
      <w:rFonts w:ascii="Calibri" w:hAnsi="Calibri"/>
      <w:color w:val="17365D" w:themeColor="text2" w:themeShade="BF"/>
      <w:sz w:val="24"/>
      <w:szCs w:val="21"/>
      <w:lang w:eastAsia="it-IT"/>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before="120" w:after="120" w:line="240" w:lineRule="auto"/>
      <w:ind w:firstLine="0"/>
    </w:pPr>
    <w:rPr>
      <w:rFonts w:ascii="Tahoma" w:hAnsi="Tahoma" w:cs="Tahoma"/>
      <w:color w:val="17365D" w:themeColor="text2" w:themeShade="BF"/>
      <w:sz w:val="24"/>
      <w:szCs w:val="24"/>
      <w:lang w:eastAsia="it-IT"/>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spacing w:before="120" w:after="120" w:line="240" w:lineRule="auto"/>
      <w:ind w:left="2160" w:firstLine="0"/>
    </w:pPr>
    <w:rPr>
      <w:rFonts w:ascii="Century Gothic" w:hAnsi="Century Gothic"/>
      <w:color w:val="0F243E"/>
      <w:sz w:val="24"/>
      <w:szCs w:val="24"/>
      <w:lang w:eastAsia="it-IT"/>
    </w:rPr>
  </w:style>
  <w:style w:type="paragraph" w:styleId="Paragrafoelenco">
    <w:name w:val="List Paragraph"/>
    <w:basedOn w:val="Normale"/>
    <w:uiPriority w:val="34"/>
    <w:qFormat/>
    <w:rsid w:val="00130235"/>
    <w:pPr>
      <w:spacing w:before="120" w:after="120" w:line="240" w:lineRule="auto"/>
      <w:ind w:left="720" w:firstLine="0"/>
    </w:pPr>
    <w:rPr>
      <w:rFonts w:ascii="Century Gothic" w:hAnsi="Century Gothic"/>
      <w:color w:val="17365D" w:themeColor="text2" w:themeShade="BF"/>
      <w:sz w:val="24"/>
      <w:szCs w:val="24"/>
      <w:lang w:eastAsia="it-IT"/>
    </w:rPr>
  </w:style>
  <w:style w:type="paragraph" w:customStyle="1" w:styleId="TabellaIntestazione">
    <w:name w:val="Tabella Intestazione"/>
    <w:basedOn w:val="Normale"/>
    <w:uiPriority w:val="10"/>
    <w:rsid w:val="007C7FF3"/>
    <w:pPr>
      <w:spacing w:line="180" w:lineRule="exact"/>
      <w:ind w:firstLine="0"/>
      <w:jc w:val="center"/>
    </w:pPr>
    <w:rPr>
      <w:rFonts w:ascii="Franklin Gothic Book" w:hAnsi="Franklin Gothic Book"/>
      <w:b/>
      <w:bCs/>
      <w:sz w:val="17"/>
      <w:szCs w:val="17"/>
      <w:lang w:eastAsia="it-IT"/>
    </w:rPr>
  </w:style>
  <w:style w:type="paragraph" w:customStyle="1" w:styleId="Tabellatitolo">
    <w:name w:val="Tabella titolo"/>
    <w:basedOn w:val="Normale"/>
    <w:uiPriority w:val="17"/>
    <w:rsid w:val="007C7FF3"/>
    <w:pPr>
      <w:spacing w:line="180" w:lineRule="exact"/>
      <w:ind w:left="28" w:right="28" w:firstLine="0"/>
      <w:jc w:val="left"/>
    </w:pPr>
    <w:rPr>
      <w:rFonts w:ascii="Franklin Gothic Heavy" w:hAnsi="Franklin Gothic Heavy"/>
      <w:caps/>
      <w:color w:val="FFFFFF"/>
      <w:sz w:val="17"/>
      <w:szCs w:val="1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heme="minorHAnsi" w:hAnsi="Century Gothic" w:cs="Times New Roman"/>
        <w:bCs/>
        <w:iCs/>
        <w:kern w:val="36"/>
        <w:sz w:val="22"/>
        <w:szCs w:val="22"/>
        <w:lang w:val="it-IT" w:eastAsia="en-US" w:bidi="ar-SA"/>
      </w:rPr>
    </w:rPrDefault>
    <w:pPrDefault>
      <w:pPr>
        <w:spacing w:before="120"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C7FF3"/>
    <w:pPr>
      <w:spacing w:before="0" w:after="0" w:line="252" w:lineRule="auto"/>
      <w:ind w:firstLine="454"/>
    </w:pPr>
    <w:rPr>
      <w:rFonts w:ascii="Trebuchet MS" w:hAnsi="Trebuchet MS"/>
      <w:bCs w:val="0"/>
      <w:iCs w:val="0"/>
      <w:kern w:val="0"/>
    </w:rPr>
  </w:style>
  <w:style w:type="paragraph" w:styleId="Titolo1">
    <w:name w:val="heading 1"/>
    <w:basedOn w:val="Normale"/>
    <w:link w:val="Titolo1Carattere"/>
    <w:uiPriority w:val="9"/>
    <w:qFormat/>
    <w:rsid w:val="00535F48"/>
    <w:pPr>
      <w:keepNext/>
      <w:spacing w:before="240" w:after="60" w:line="240" w:lineRule="auto"/>
      <w:ind w:left="480" w:right="34" w:firstLine="0"/>
      <w:jc w:val="center"/>
      <w:outlineLvl w:val="0"/>
    </w:pPr>
    <w:rPr>
      <w:rFonts w:ascii="Century Gothic" w:hAnsi="Century Gothic" w:cs="Century Gothic"/>
      <w:b/>
      <w:bCs/>
      <w:color w:val="17365D" w:themeColor="text2" w:themeShade="BF"/>
      <w:sz w:val="32"/>
      <w:szCs w:val="32"/>
      <w:lang w:eastAsia="it-IT"/>
    </w:rPr>
  </w:style>
  <w:style w:type="paragraph" w:styleId="Titolo2">
    <w:name w:val="heading 2"/>
    <w:basedOn w:val="Normale"/>
    <w:link w:val="Titolo2Carattere"/>
    <w:qFormat/>
    <w:rsid w:val="00535F48"/>
    <w:pPr>
      <w:keepNext/>
      <w:spacing w:before="240" w:after="60" w:line="240" w:lineRule="auto"/>
      <w:ind w:firstLine="0"/>
      <w:jc w:val="center"/>
      <w:outlineLvl w:val="1"/>
    </w:pPr>
    <w:rPr>
      <w:rFonts w:ascii="Century Gothic" w:eastAsiaTheme="minorEastAsia" w:hAnsi="Century Gothic" w:cs="Century Gothic"/>
      <w:b/>
      <w:bCs/>
      <w:iCs/>
      <w:color w:val="17365D" w:themeColor="text2" w:themeShade="BF"/>
      <w:kern w:val="36"/>
      <w:sz w:val="28"/>
      <w:szCs w:val="16"/>
      <w:lang w:eastAsia="it-IT"/>
    </w:rPr>
  </w:style>
  <w:style w:type="paragraph" w:styleId="Titolo3">
    <w:name w:val="heading 3"/>
    <w:basedOn w:val="Normale"/>
    <w:link w:val="Titolo3Carattere"/>
    <w:uiPriority w:val="9"/>
    <w:qFormat/>
    <w:rsid w:val="00535F48"/>
    <w:pPr>
      <w:keepNext/>
      <w:spacing w:before="240" w:after="60" w:line="240" w:lineRule="auto"/>
      <w:ind w:firstLine="0"/>
      <w:jc w:val="center"/>
      <w:outlineLvl w:val="2"/>
    </w:pPr>
    <w:rPr>
      <w:rFonts w:ascii="Century Gothic" w:hAnsi="Century Gothic" w:cs="Century Gothic"/>
      <w:b/>
      <w:bCs/>
      <w:color w:val="17365D" w:themeColor="text2" w:themeShade="BF"/>
      <w:sz w:val="24"/>
      <w:szCs w:val="24"/>
      <w:lang w:eastAsia="it-IT"/>
    </w:rPr>
  </w:style>
  <w:style w:type="paragraph" w:styleId="Titolo4">
    <w:name w:val="heading 4"/>
    <w:basedOn w:val="Normale"/>
    <w:link w:val="Titolo4Carattere"/>
    <w:uiPriority w:val="9"/>
    <w:qFormat/>
    <w:rsid w:val="00535F48"/>
    <w:pPr>
      <w:keepNext/>
      <w:spacing w:before="240" w:after="60" w:line="240" w:lineRule="auto"/>
      <w:ind w:firstLine="0"/>
      <w:jc w:val="left"/>
      <w:outlineLvl w:val="3"/>
    </w:pPr>
    <w:rPr>
      <w:rFonts w:ascii="Century Gothic" w:hAnsi="Century Gothic"/>
      <w:b/>
      <w:bCs/>
      <w:color w:val="17365D" w:themeColor="text2" w:themeShade="BF"/>
      <w:sz w:val="24"/>
      <w:szCs w:val="28"/>
      <w:lang w:eastAsia="it-IT"/>
    </w:rPr>
  </w:style>
  <w:style w:type="paragraph" w:styleId="Titolo6">
    <w:name w:val="heading 6"/>
    <w:basedOn w:val="Normale"/>
    <w:link w:val="Titolo6Carattere"/>
    <w:uiPriority w:val="9"/>
    <w:qFormat/>
    <w:rsid w:val="00130235"/>
    <w:pPr>
      <w:spacing w:before="240" w:after="60" w:line="240" w:lineRule="auto"/>
      <w:ind w:firstLine="0"/>
      <w:outlineLvl w:val="5"/>
    </w:pPr>
    <w:rPr>
      <w:rFonts w:ascii="Times New Roman" w:hAnsi="Times New Roman"/>
      <w:b/>
      <w:bCs/>
      <w:color w:val="17365D" w:themeColor="text2" w:themeShade="BF"/>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line="240" w:lineRule="auto"/>
      <w:ind w:firstLine="0"/>
    </w:pPr>
    <w:rPr>
      <w:rFonts w:ascii="Century Gothic" w:eastAsia="Times New Roman" w:hAnsi="Century Gothic" w:cs="Century Gothic"/>
      <w:bCs/>
      <w:iCs/>
      <w:color w:val="17365D" w:themeColor="text2" w:themeShade="BF"/>
      <w:kern w:val="36"/>
      <w:sz w:val="24"/>
      <w:szCs w:val="24"/>
      <w:lang w:eastAsia="it-IT"/>
    </w:rPr>
  </w:style>
  <w:style w:type="character" w:customStyle="1" w:styleId="Titolo1Carattere">
    <w:name w:val="Titolo 1 Carattere"/>
    <w:basedOn w:val="Carpredefinitoparagrafo"/>
    <w:link w:val="Titolo1"/>
    <w:uiPriority w:val="9"/>
    <w:rsid w:val="00535F48"/>
    <w:rPr>
      <w:rFonts w:cs="Century Gothic"/>
      <w:b/>
      <w:iCs w:val="0"/>
      <w:color w:val="17365D" w:themeColor="text2" w:themeShade="BF"/>
      <w:kern w:val="0"/>
      <w:sz w:val="32"/>
      <w:szCs w:val="32"/>
      <w:lang w:eastAsia="it-IT"/>
    </w:rPr>
  </w:style>
  <w:style w:type="paragraph" w:styleId="Titolo">
    <w:name w:val="Title"/>
    <w:basedOn w:val="Normale"/>
    <w:link w:val="TitoloCarattere"/>
    <w:uiPriority w:val="10"/>
    <w:qFormat/>
    <w:rsid w:val="001D0D71"/>
    <w:pPr>
      <w:spacing w:before="240" w:after="60" w:line="240" w:lineRule="auto"/>
      <w:ind w:firstLine="0"/>
      <w:jc w:val="center"/>
    </w:pPr>
    <w:rPr>
      <w:rFonts w:ascii="Century Gothic" w:hAnsi="Century Gothic" w:cs="Arial"/>
      <w:b/>
      <w:bCs/>
      <w:color w:val="17365D" w:themeColor="text2" w:themeShade="BF"/>
      <w:sz w:val="34"/>
      <w:szCs w:val="32"/>
      <w:lang w:eastAsia="it-IT"/>
    </w:rPr>
  </w:style>
  <w:style w:type="character" w:customStyle="1" w:styleId="TitoloCarattere">
    <w:name w:val="Titolo Carattere"/>
    <w:basedOn w:val="Carpredefinitoparagrafo"/>
    <w:link w:val="Titolo"/>
    <w:uiPriority w:val="10"/>
    <w:rsid w:val="001D0D71"/>
    <w:rPr>
      <w:rFonts w:cs="Arial"/>
      <w:b/>
      <w:iCs w:val="0"/>
      <w:color w:val="17365D" w:themeColor="text2" w:themeShade="BF"/>
      <w:kern w:val="0"/>
      <w:sz w:val="34"/>
      <w:szCs w:val="32"/>
      <w:lang w:eastAsia="it-IT"/>
    </w:rPr>
  </w:style>
  <w:style w:type="paragraph" w:styleId="Sottotitolo">
    <w:name w:val="Subtitle"/>
    <w:basedOn w:val="Normale"/>
    <w:next w:val="Normale"/>
    <w:link w:val="SottotitoloCarattere"/>
    <w:uiPriority w:val="11"/>
    <w:qFormat/>
    <w:rsid w:val="00130235"/>
    <w:pPr>
      <w:numPr>
        <w:ilvl w:val="1"/>
      </w:numPr>
      <w:spacing w:before="120" w:after="120" w:line="240" w:lineRule="auto"/>
      <w:ind w:left="600" w:firstLine="567"/>
    </w:pPr>
    <w:rPr>
      <w:rFonts w:asciiTheme="majorHAnsi" w:eastAsiaTheme="majorEastAsia" w:hAnsiTheme="majorHAnsi" w:cstheme="majorBidi"/>
      <w:i/>
      <w:iCs/>
      <w:color w:val="4F81BD" w:themeColor="accent1"/>
      <w:spacing w:val="15"/>
      <w:sz w:val="24"/>
      <w:szCs w:val="24"/>
      <w:lang w:eastAsia="it-IT"/>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line="240" w:lineRule="auto"/>
      <w:ind w:left="170" w:right="-39" w:firstLine="0"/>
    </w:pPr>
    <w:rPr>
      <w:rFonts w:ascii="Century Gothic" w:hAnsi="Century Gothic" w:cs="Century Gothic"/>
      <w:color w:val="17365D" w:themeColor="text2" w:themeShade="BF"/>
      <w:sz w:val="24"/>
      <w:szCs w:val="24"/>
      <w:lang w:eastAsia="it-IT"/>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535F48"/>
    <w:rPr>
      <w:rFonts w:eastAsiaTheme="minorEastAsia" w:cs="Century Gothic"/>
      <w:b/>
      <w:color w:val="17365D" w:themeColor="text2" w:themeShade="BF"/>
      <w:sz w:val="28"/>
      <w:szCs w:val="16"/>
      <w:lang w:eastAsia="it-IT"/>
    </w:rPr>
  </w:style>
  <w:style w:type="character" w:customStyle="1" w:styleId="Titolo3Carattere">
    <w:name w:val="Titolo 3 Carattere"/>
    <w:basedOn w:val="Carpredefinitoparagrafo"/>
    <w:link w:val="Titolo3"/>
    <w:uiPriority w:val="9"/>
    <w:rsid w:val="00535F48"/>
    <w:rPr>
      <w:rFonts w:cs="Century Gothic"/>
      <w:b/>
      <w:iCs w:val="0"/>
      <w:color w:val="17365D" w:themeColor="text2" w:themeShade="BF"/>
      <w:kern w:val="0"/>
      <w:sz w:val="24"/>
      <w:szCs w:val="24"/>
      <w:lang w:eastAsia="it-IT"/>
    </w:rPr>
  </w:style>
  <w:style w:type="character" w:customStyle="1" w:styleId="Titolo4Carattere">
    <w:name w:val="Titolo 4 Carattere"/>
    <w:basedOn w:val="Carpredefinitoparagrafo"/>
    <w:link w:val="Titolo4"/>
    <w:uiPriority w:val="9"/>
    <w:rsid w:val="00535F48"/>
    <w:rPr>
      <w:b/>
      <w:iCs w:val="0"/>
      <w:color w:val="17365D" w:themeColor="text2" w:themeShade="BF"/>
      <w:kern w:val="0"/>
      <w:sz w:val="24"/>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before="120" w:after="120" w:line="240" w:lineRule="auto"/>
      <w:ind w:right="-2" w:firstLine="0"/>
    </w:pPr>
    <w:rPr>
      <w:rFonts w:ascii="Century Gothic" w:hAnsi="Century Gothic"/>
      <w:color w:val="17365D" w:themeColor="text2" w:themeShade="BF"/>
      <w:sz w:val="24"/>
      <w:szCs w:val="24"/>
      <w:lang w:eastAsia="it-IT"/>
    </w:rPr>
  </w:style>
  <w:style w:type="paragraph" w:styleId="Sommario3">
    <w:name w:val="toc 3"/>
    <w:basedOn w:val="Normale"/>
    <w:autoRedefine/>
    <w:uiPriority w:val="39"/>
    <w:semiHidden/>
    <w:unhideWhenUsed/>
    <w:rsid w:val="00130235"/>
    <w:pPr>
      <w:spacing w:before="120" w:after="120" w:line="240" w:lineRule="auto"/>
      <w:ind w:left="440" w:firstLine="0"/>
    </w:pPr>
    <w:rPr>
      <w:rFonts w:ascii="Times New Roman" w:hAnsi="Times New Roman"/>
      <w:color w:val="17365D" w:themeColor="text2" w:themeShade="BF"/>
      <w:sz w:val="24"/>
      <w:szCs w:val="24"/>
      <w:lang w:eastAsia="it-IT"/>
    </w:rPr>
  </w:style>
  <w:style w:type="paragraph" w:styleId="Testonotaapidipagina">
    <w:name w:val="footnote text"/>
    <w:basedOn w:val="Normale"/>
    <w:link w:val="TestonotaapidipaginaCarattere"/>
    <w:uiPriority w:val="99"/>
    <w:semiHidden/>
    <w:unhideWhenUsed/>
    <w:rsid w:val="00130235"/>
    <w:pPr>
      <w:spacing w:before="120" w:after="120" w:line="240" w:lineRule="auto"/>
      <w:ind w:firstLine="0"/>
    </w:pPr>
    <w:rPr>
      <w:rFonts w:ascii="Times New Roman" w:hAnsi="Times New Roman"/>
      <w:color w:val="17365D" w:themeColor="text2" w:themeShade="BF"/>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before="120" w:after="120" w:line="240" w:lineRule="auto"/>
      <w:ind w:firstLine="0"/>
    </w:pPr>
    <w:rPr>
      <w:rFonts w:ascii="Times New Roman" w:hAnsi="Times New Roman"/>
      <w:color w:val="17365D" w:themeColor="text2" w:themeShade="BF"/>
      <w:sz w:val="24"/>
      <w:szCs w:val="24"/>
      <w:lang w:eastAsia="it-IT"/>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before="120" w:after="120" w:line="240" w:lineRule="auto"/>
      <w:ind w:firstLine="0"/>
    </w:pPr>
    <w:rPr>
      <w:rFonts w:ascii="Times New Roman" w:hAnsi="Times New Roman"/>
      <w:color w:val="17365D" w:themeColor="text2" w:themeShade="BF"/>
      <w:sz w:val="24"/>
      <w:szCs w:val="24"/>
      <w:lang w:eastAsia="it-IT"/>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before="120" w:after="120" w:line="240" w:lineRule="auto"/>
      <w:ind w:firstLine="0"/>
    </w:pPr>
    <w:rPr>
      <w:rFonts w:ascii="Century Gothic" w:hAnsi="Century Gothic"/>
      <w:color w:val="17365D" w:themeColor="text2" w:themeShade="BF"/>
      <w:sz w:val="24"/>
      <w:szCs w:val="24"/>
      <w:lang w:eastAsia="it-IT"/>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before="120" w:after="120" w:line="240" w:lineRule="auto"/>
      <w:ind w:left="480" w:firstLine="0"/>
    </w:pPr>
    <w:rPr>
      <w:rFonts w:ascii="Century Gothic" w:hAnsi="Century Gothic"/>
      <w:color w:val="FF0000"/>
      <w:sz w:val="18"/>
      <w:szCs w:val="18"/>
      <w:lang w:eastAsia="it-IT"/>
    </w:rPr>
  </w:style>
  <w:style w:type="paragraph" w:styleId="Testonormale">
    <w:name w:val="Plain Text"/>
    <w:basedOn w:val="Normale"/>
    <w:link w:val="TestonormaleCarattere"/>
    <w:uiPriority w:val="99"/>
    <w:semiHidden/>
    <w:unhideWhenUsed/>
    <w:rsid w:val="00130235"/>
    <w:pPr>
      <w:spacing w:before="120" w:after="120" w:line="240" w:lineRule="auto"/>
      <w:ind w:firstLine="0"/>
    </w:pPr>
    <w:rPr>
      <w:rFonts w:ascii="Calibri" w:hAnsi="Calibri"/>
      <w:color w:val="17365D" w:themeColor="text2" w:themeShade="BF"/>
      <w:sz w:val="24"/>
      <w:szCs w:val="21"/>
      <w:lang w:eastAsia="it-IT"/>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before="120" w:after="120" w:line="240" w:lineRule="auto"/>
      <w:ind w:firstLine="0"/>
    </w:pPr>
    <w:rPr>
      <w:rFonts w:ascii="Tahoma" w:hAnsi="Tahoma" w:cs="Tahoma"/>
      <w:color w:val="17365D" w:themeColor="text2" w:themeShade="BF"/>
      <w:sz w:val="24"/>
      <w:szCs w:val="24"/>
      <w:lang w:eastAsia="it-IT"/>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spacing w:before="120" w:after="120" w:line="240" w:lineRule="auto"/>
      <w:ind w:left="2160" w:firstLine="0"/>
    </w:pPr>
    <w:rPr>
      <w:rFonts w:ascii="Century Gothic" w:hAnsi="Century Gothic"/>
      <w:color w:val="0F243E"/>
      <w:sz w:val="24"/>
      <w:szCs w:val="24"/>
      <w:lang w:eastAsia="it-IT"/>
    </w:rPr>
  </w:style>
  <w:style w:type="paragraph" w:styleId="Paragrafoelenco">
    <w:name w:val="List Paragraph"/>
    <w:basedOn w:val="Normale"/>
    <w:uiPriority w:val="34"/>
    <w:qFormat/>
    <w:rsid w:val="00130235"/>
    <w:pPr>
      <w:spacing w:before="120" w:after="120" w:line="240" w:lineRule="auto"/>
      <w:ind w:left="720" w:firstLine="0"/>
    </w:pPr>
    <w:rPr>
      <w:rFonts w:ascii="Century Gothic" w:hAnsi="Century Gothic"/>
      <w:color w:val="17365D" w:themeColor="text2" w:themeShade="BF"/>
      <w:sz w:val="24"/>
      <w:szCs w:val="24"/>
      <w:lang w:eastAsia="it-IT"/>
    </w:rPr>
  </w:style>
  <w:style w:type="paragraph" w:customStyle="1" w:styleId="TabellaIntestazione">
    <w:name w:val="Tabella Intestazione"/>
    <w:basedOn w:val="Normale"/>
    <w:uiPriority w:val="10"/>
    <w:rsid w:val="007C7FF3"/>
    <w:pPr>
      <w:spacing w:line="180" w:lineRule="exact"/>
      <w:ind w:firstLine="0"/>
      <w:jc w:val="center"/>
    </w:pPr>
    <w:rPr>
      <w:rFonts w:ascii="Franklin Gothic Book" w:hAnsi="Franklin Gothic Book"/>
      <w:b/>
      <w:bCs/>
      <w:sz w:val="17"/>
      <w:szCs w:val="17"/>
      <w:lang w:eastAsia="it-IT"/>
    </w:rPr>
  </w:style>
  <w:style w:type="paragraph" w:customStyle="1" w:styleId="Tabellatitolo">
    <w:name w:val="Tabella titolo"/>
    <w:basedOn w:val="Normale"/>
    <w:uiPriority w:val="17"/>
    <w:rsid w:val="007C7FF3"/>
    <w:pPr>
      <w:spacing w:line="180" w:lineRule="exact"/>
      <w:ind w:left="28" w:right="28" w:firstLine="0"/>
      <w:jc w:val="left"/>
    </w:pPr>
    <w:rPr>
      <w:rFonts w:ascii="Franklin Gothic Heavy" w:hAnsi="Franklin Gothic Heavy"/>
      <w:caps/>
      <w:color w:val="FFFFFF"/>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4033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727</Words>
  <Characters>4150</Characters>
  <Application>Microsoft Office Word</Application>
  <DocSecurity>0</DocSecurity>
  <Lines>34</Lines>
  <Paragraphs>9</Paragraphs>
  <ScaleCrop>false</ScaleCrop>
  <Company/>
  <LinksUpToDate>false</LinksUpToDate>
  <CharactersWithSpaces>4868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Novelli</dc:creator>
  <cp:lastModifiedBy>Mauro Novelli</cp:lastModifiedBy>
  <cp:revision>2</cp:revision>
  <dcterms:created xsi:type="dcterms:W3CDTF">2014-04-10T10:32:00Z</dcterms:created>
  <dcterms:modified xsi:type="dcterms:W3CDTF">2014-04-10T10:32:00Z</dcterms:modified>
</cp:coreProperties>
</file>