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CF2" w:rsidRDefault="00955CF2" w:rsidP="00955CF2">
      <w:pPr>
        <w:pStyle w:val="Nessunaspaziatura"/>
        <w:tabs>
          <w:tab w:val="left" w:pos="142"/>
        </w:tabs>
        <w:ind w:left="142"/>
        <w:jc w:val="center"/>
        <w:rPr>
          <w:rFonts w:ascii="Arial" w:hAnsi="Arial" w:cs="Arial"/>
          <w:b/>
          <w:bCs/>
          <w:color w:val="383838"/>
        </w:rPr>
      </w:pPr>
      <w:r>
        <w:rPr>
          <w:rFonts w:ascii="Arial" w:hAnsi="Arial" w:cs="Arial"/>
          <w:b/>
          <w:bCs/>
          <w:color w:val="383838"/>
        </w:rPr>
        <w:t>COMUNICATO STAMPA</w:t>
      </w:r>
    </w:p>
    <w:p w:rsidR="00955CF2" w:rsidRDefault="00955CF2" w:rsidP="00955CF2">
      <w:pPr>
        <w:pStyle w:val="Nessunaspaziatura"/>
        <w:rPr>
          <w:rFonts w:ascii="Arial" w:hAnsi="Arial" w:cs="Arial"/>
          <w:color w:val="383838"/>
          <w:sz w:val="21"/>
          <w:szCs w:val="21"/>
        </w:rPr>
      </w:pPr>
    </w:p>
    <w:p w:rsidR="00955CF2" w:rsidRDefault="00955CF2" w:rsidP="00955CF2">
      <w:pPr>
        <w:pStyle w:val="Nessunaspaziatura"/>
        <w:ind w:left="142"/>
        <w:rPr>
          <w:rFonts w:ascii="Arial" w:hAnsi="Arial" w:cs="Arial"/>
          <w:b/>
          <w:bCs/>
          <w:color w:val="383838"/>
          <w:sz w:val="20"/>
          <w:szCs w:val="20"/>
        </w:rPr>
      </w:pPr>
      <w:bookmarkStart w:id="0" w:name="_GoBack"/>
      <w:r>
        <w:rPr>
          <w:rFonts w:ascii="Arial" w:hAnsi="Arial" w:cs="Arial"/>
          <w:b/>
          <w:bCs/>
          <w:color w:val="383838"/>
          <w:sz w:val="20"/>
          <w:szCs w:val="20"/>
        </w:rPr>
        <w:t xml:space="preserve">CRISI: CONTINUA A CALARE IL POTERE DI ACQUISTO, MISURATO DA EUROSTAT IN ‘CAPACITA’ DI SPESA’. </w:t>
      </w:r>
      <w:bookmarkEnd w:id="0"/>
      <w:r>
        <w:rPr>
          <w:rFonts w:ascii="Arial" w:hAnsi="Arial" w:cs="Arial"/>
          <w:b/>
          <w:bCs/>
          <w:color w:val="383838"/>
          <w:sz w:val="20"/>
          <w:szCs w:val="20"/>
        </w:rPr>
        <w:t>DAL 2002 AL 2013, SFILATI DA TASCHE FAMIGLIE 12.397 EURO PRO-CAPITE,  PARI AD UN VOLUME DI  297,5 MILIARDI.</w:t>
      </w:r>
    </w:p>
    <w:p w:rsidR="00955CF2" w:rsidRDefault="00955CF2" w:rsidP="00955CF2">
      <w:pPr>
        <w:pStyle w:val="Nessunaspaziatura"/>
        <w:ind w:left="142"/>
        <w:rPr>
          <w:rFonts w:ascii="Arial" w:hAnsi="Arial" w:cs="Arial"/>
          <w:color w:val="383838"/>
          <w:sz w:val="21"/>
          <w:szCs w:val="21"/>
        </w:rPr>
      </w:pPr>
    </w:p>
    <w:p w:rsidR="00955CF2" w:rsidRDefault="00955CF2" w:rsidP="00955CF2">
      <w:pPr>
        <w:pStyle w:val="Nessunaspaziatura"/>
        <w:ind w:left="142"/>
        <w:rPr>
          <w:rFonts w:ascii="Arial" w:hAnsi="Arial" w:cs="Arial"/>
          <w:color w:val="383838"/>
          <w:sz w:val="22"/>
          <w:szCs w:val="22"/>
        </w:rPr>
      </w:pPr>
      <w:r>
        <w:rPr>
          <w:rFonts w:ascii="Arial" w:hAnsi="Arial" w:cs="Arial"/>
          <w:color w:val="383838"/>
        </w:rPr>
        <w:t>    Il crollo dei consumi e del potere d'acquisto della famiglie, che ha colpito anche il ceto medio ed i redditi che potevano essere definiti dei ''benestanti'' nel 2001, è dimostrato dallo studio Adusbef sulla capacità di spesa (CDS), crollata dal 2002 con un trasferimento di 297,5 miliardi di euro, dalle tasche degli italiani a quelle di coloro che hanno avuto possibilità di determinare prezzi e tariffe.</w:t>
      </w:r>
    </w:p>
    <w:p w:rsidR="00955CF2" w:rsidRDefault="00955CF2" w:rsidP="00955CF2">
      <w:pPr>
        <w:pStyle w:val="Nessunaspaziatura"/>
        <w:ind w:left="142"/>
        <w:rPr>
          <w:rFonts w:ascii="Arial" w:hAnsi="Arial" w:cs="Arial"/>
          <w:color w:val="383838"/>
        </w:rPr>
      </w:pPr>
      <w:r>
        <w:rPr>
          <w:rFonts w:ascii="Arial" w:hAnsi="Arial" w:cs="Arial"/>
          <w:color w:val="383838"/>
        </w:rPr>
        <w:t xml:space="preserve">    In Italia la capacità di spesa, era  pari a 119 nel 2001, tra le più elevate dei paesi europei superata da Inghilterra (120); Svezia (123); Belgio (124); Austria (126); Danimarca (128); Olanda ed Irlanda (134); Lussemburgo (235); più alta di Francia; Germania e Finlandia (116). Nel 2012, l'Italia (-16,8%) guida la classifica negativa della capacità di spesa ridotta di 20 punti ed attestata a 99; al secondo posto la Grecia (-13,8% che passa da 87 a 75); al terzo il Regno Unito (-8,3% a 110; al quarto il Portogallo - 7,4% che si attesta a 75; al quinto la Francia -6,9% a 108; al sesto il Belgio a 119; mentre Austria (131); Germania (122); Svezia (129) e Lussemburgo (272) aumentano la capacità di spesa. </w:t>
      </w:r>
    </w:p>
    <w:p w:rsidR="00955CF2" w:rsidRDefault="00955CF2" w:rsidP="00955CF2">
      <w:pPr>
        <w:pStyle w:val="Nessunaspaziatura"/>
        <w:ind w:left="142"/>
        <w:rPr>
          <w:rFonts w:ascii="Arial" w:hAnsi="Arial" w:cs="Arial"/>
          <w:color w:val="383838"/>
        </w:rPr>
      </w:pPr>
      <w:r>
        <w:rPr>
          <w:rFonts w:ascii="Arial" w:hAnsi="Arial" w:cs="Arial"/>
          <w:color w:val="383838"/>
        </w:rPr>
        <w:t xml:space="preserve">   La CDS uno dei principali indicatori misurata da </w:t>
      </w:r>
      <w:proofErr w:type="spellStart"/>
      <w:r>
        <w:rPr>
          <w:rFonts w:ascii="Arial" w:hAnsi="Arial" w:cs="Arial"/>
          <w:color w:val="383838"/>
        </w:rPr>
        <w:t>Eurostat</w:t>
      </w:r>
      <w:proofErr w:type="spellEnd"/>
      <w:r>
        <w:rPr>
          <w:rFonts w:ascii="Arial" w:hAnsi="Arial" w:cs="Arial"/>
          <w:color w:val="383838"/>
        </w:rPr>
        <w:t xml:space="preserve">, che traduce il </w:t>
      </w:r>
      <w:proofErr w:type="spellStart"/>
      <w:r>
        <w:rPr>
          <w:rFonts w:ascii="Arial" w:hAnsi="Arial" w:cs="Arial"/>
          <w:color w:val="383838"/>
        </w:rPr>
        <w:t>Pil</w:t>
      </w:r>
      <w:proofErr w:type="spellEnd"/>
      <w:r>
        <w:rPr>
          <w:rFonts w:ascii="Arial" w:hAnsi="Arial" w:cs="Arial"/>
          <w:color w:val="383838"/>
        </w:rPr>
        <w:t xml:space="preserve"> di ciascun paese Ue parametrando la ricchezza prodotta al livello dei prezzi, ha fatto retrocedere l'Italia nel 2013 sotto la media Ue (28 paesi) collocandola nel 2013 a 98 (eravamo a 100 l'anno prima). Continuano a scendere anche Francia, Gran Bretagna e Spagna, mentre la Germania è l'unico paese in crescita (da 123 a 124). Dei 5 paesi (considerati nella tabella), l'Italia è quella che - in 11 anni, dal 2002 al 2013 - ha visto diminuire maggiormente la sua capacità di spesa (- 13,3 %), quindi il potere di acquisto, seguita dalla Gran Bretagna (-13,1), Francia (- 6,9%) e Spagna (-5,9%). Continua invece a crescere la Germania (+7,8%). Complessivamente scende anche la zona euro (18) (-2,7 %). </w:t>
      </w:r>
    </w:p>
    <w:p w:rsidR="00955CF2" w:rsidRDefault="00955CF2" w:rsidP="00955CF2">
      <w:pPr>
        <w:pStyle w:val="Nessunaspaziatura"/>
        <w:ind w:left="142"/>
        <w:rPr>
          <w:rFonts w:ascii="Arial" w:hAnsi="Arial" w:cs="Arial"/>
          <w:color w:val="383838"/>
        </w:rPr>
      </w:pPr>
      <w:r>
        <w:rPr>
          <w:rFonts w:ascii="Arial" w:hAnsi="Arial" w:cs="Arial"/>
          <w:color w:val="383838"/>
        </w:rPr>
        <w:t xml:space="preserve">   Le altre grandi economie, come Giappone e Stati Uniti, hanno redditi e capacità di spesa, seppur ridotte rispettivamente del 7% e 2,5 per cento  negli  11 anni considerati, superiori all’Italia del + 8,1% i nipponici, del 58,2% i nordamericani, la CDS più elevata dei paesi considerati da </w:t>
      </w:r>
      <w:proofErr w:type="spellStart"/>
      <w:r>
        <w:rPr>
          <w:rFonts w:ascii="Arial" w:hAnsi="Arial" w:cs="Arial"/>
          <w:color w:val="383838"/>
        </w:rPr>
        <w:t>Eurostat</w:t>
      </w:r>
      <w:proofErr w:type="spellEnd"/>
      <w:r>
        <w:rPr>
          <w:rFonts w:ascii="Arial" w:hAnsi="Arial" w:cs="Arial"/>
          <w:color w:val="383838"/>
        </w:rPr>
        <w:t xml:space="preserve">. </w:t>
      </w:r>
    </w:p>
    <w:p w:rsidR="00955CF2" w:rsidRDefault="00955CF2" w:rsidP="00955CF2">
      <w:pPr>
        <w:pStyle w:val="Nessunaspaziatura"/>
        <w:ind w:left="142"/>
        <w:rPr>
          <w:rFonts w:ascii="Arial" w:hAnsi="Arial" w:cs="Arial"/>
          <w:color w:val="383838"/>
        </w:rPr>
      </w:pPr>
      <w:r>
        <w:rPr>
          <w:rFonts w:ascii="Arial" w:hAnsi="Arial" w:cs="Arial"/>
          <w:color w:val="383838"/>
        </w:rPr>
        <w:t xml:space="preserve">   Adusbef e Federconsumatori hanno calcolato che l’effetto trascinamento del cambio lira-euro entrato in vigore dal 1.1.2002 (1.000 lire= 1 euro), con il tasso di cambio fissato a 1.936,27 lire ad euro (invece di un giusto tasso di 1.300 lire max per 1 euro), ha svuotato le tasche delle famiglie italiane, al ritmo di 1.137 euro l'anno di rincari speculativi, per un conto finale di 12.397 euro pro-capite negli ultimi 11 anni, ed un conto complessivo di quasi 300 miliardi. Dall'ingresso nell' euro infatti, si è registrata una perdita del potere di acquisto (che anche le statistiche ufficiali sono costrette a riconoscere), pari a 12.397 euro per ogni famiglia (24 milioni), con un trasferimento di ricchezza stimato in 297,5 miliardi di euro, dalle tasche dei consumatori a quelle di coloro che hanno avuto la possibilità di determinare prezzi e tariffe, al riparo dai dovuti controlli delle  autorità di settore, che hanno fatto da ‘palo’ allo svuotamento continuo delle tasche degli italiani. </w:t>
      </w:r>
    </w:p>
    <w:p w:rsidR="00955CF2" w:rsidRDefault="00955CF2" w:rsidP="00955CF2">
      <w:pPr>
        <w:pStyle w:val="Nessunaspaziatura"/>
        <w:ind w:left="142"/>
        <w:rPr>
          <w:rFonts w:ascii="Arial" w:hAnsi="Arial" w:cs="Arial"/>
          <w:color w:val="383838"/>
        </w:rPr>
      </w:pPr>
      <w:r>
        <w:rPr>
          <w:rFonts w:ascii="Arial" w:hAnsi="Arial" w:cs="Arial"/>
          <w:color w:val="383838"/>
        </w:rPr>
        <w:t xml:space="preserve">     L'euro da grande speranza ha rappresentato purtroppo, la più grande rapina del secolo, che ha impoverito grandi masse di lavoratori e pensionati, artigiani, piccoli </w:t>
      </w:r>
      <w:r>
        <w:rPr>
          <w:rFonts w:ascii="Arial" w:hAnsi="Arial" w:cs="Arial"/>
          <w:color w:val="383838"/>
        </w:rPr>
        <w:lastRenderedPageBreak/>
        <w:t xml:space="preserve">imprenditori, partite Iva. L’impennata delle tariffe domestiche e delle bollette di gas, luce, acqua, dei servizi bancari e della </w:t>
      </w:r>
      <w:proofErr w:type="spellStart"/>
      <w:r>
        <w:rPr>
          <w:rFonts w:ascii="Arial" w:hAnsi="Arial" w:cs="Arial"/>
          <w:color w:val="383838"/>
        </w:rPr>
        <w:t>Rc</w:t>
      </w:r>
      <w:proofErr w:type="spellEnd"/>
      <w:r>
        <w:rPr>
          <w:rFonts w:ascii="Arial" w:hAnsi="Arial" w:cs="Arial"/>
          <w:color w:val="383838"/>
        </w:rPr>
        <w:t xml:space="preserve"> Auto cresciute al ritmo triplo dell’inflazione è il risultato di un impoverimento progressivo delle famiglie e di un disagio sociale per assoluta mancanza di concorrenza e di omesse verifiche da parte di Autorità che dovrebbero svolgere la funzione di controllo, evitando che prezzi e tariffe possano lievitare in maniera ingiustificata, erodendo in tal modo il potere di acquisto ed i risparmi un tempo accumulato da parte di famiglie, che hanno assunto il ruolo di “ammortizzatori sociali”.   </w:t>
      </w:r>
    </w:p>
    <w:p w:rsidR="00955CF2" w:rsidRDefault="00955CF2" w:rsidP="00955CF2">
      <w:pPr>
        <w:pStyle w:val="Nessunaspaziatura"/>
        <w:ind w:left="142"/>
        <w:rPr>
          <w:rFonts w:ascii="Arial" w:hAnsi="Arial" w:cs="Arial"/>
          <w:color w:val="383838"/>
        </w:rPr>
      </w:pPr>
      <w:r>
        <w:rPr>
          <w:rFonts w:ascii="Arial" w:hAnsi="Arial" w:cs="Arial"/>
          <w:color w:val="383838"/>
        </w:rPr>
        <w:t xml:space="preserve">   Adusbef e Federconsumatori chiedono al Governo misure urgenti per aumentare il potere di acquisto ed uscire così dalla recessione e di rinegoziare trattati europei punitivi per i consumatori, che hanno portato vantaggi esclusivi ad imprese furbette e banche spregiudicate (Unicredit, Intesa, </w:t>
      </w:r>
      <w:proofErr w:type="spellStart"/>
      <w:r>
        <w:rPr>
          <w:rFonts w:ascii="Arial" w:hAnsi="Arial" w:cs="Arial"/>
          <w:color w:val="383838"/>
        </w:rPr>
        <w:t>Ubi,ecc</w:t>
      </w:r>
      <w:proofErr w:type="spellEnd"/>
      <w:r>
        <w:rPr>
          <w:rFonts w:ascii="Arial" w:hAnsi="Arial" w:cs="Arial"/>
          <w:color w:val="383838"/>
        </w:rPr>
        <w:t xml:space="preserve">.) che hanno risparmiato miliardi di tasse con conseguente aumento della pressione fiscale a carico dei contribuenti onesti,  come si può leggere dalla recente inchiesta giornalistica che vede coinvolto il presidente Jean Claude </w:t>
      </w:r>
      <w:proofErr w:type="spellStart"/>
      <w:r>
        <w:rPr>
          <w:rFonts w:ascii="Arial" w:hAnsi="Arial" w:cs="Arial"/>
          <w:color w:val="383838"/>
        </w:rPr>
        <w:t>Juncker</w:t>
      </w:r>
      <w:proofErr w:type="spellEnd"/>
      <w:r>
        <w:rPr>
          <w:rFonts w:ascii="Arial" w:hAnsi="Arial" w:cs="Arial"/>
          <w:color w:val="383838"/>
        </w:rPr>
        <w:t xml:space="preserve">, diventato così un  </w:t>
      </w:r>
      <w:r>
        <w:rPr>
          <w:rFonts w:ascii="Arial" w:hAnsi="Arial" w:cs="Arial"/>
          <w:i/>
          <w:iCs/>
          <w:color w:val="383838"/>
        </w:rPr>
        <w:t>Papero Zoppo</w:t>
      </w:r>
      <w:r>
        <w:rPr>
          <w:rFonts w:ascii="Arial" w:hAnsi="Arial" w:cs="Arial"/>
          <w:color w:val="383838"/>
        </w:rPr>
        <w:t>, per aver consentito tali fraudolenti accordi col Lussemburgo.</w:t>
      </w:r>
    </w:p>
    <w:p w:rsidR="00955CF2" w:rsidRDefault="00955CF2" w:rsidP="00955CF2">
      <w:pPr>
        <w:pStyle w:val="Nessunaspaziatura"/>
        <w:rPr>
          <w:rFonts w:ascii="Arial" w:hAnsi="Arial" w:cs="Arial"/>
          <w:color w:val="383838"/>
        </w:rPr>
      </w:pPr>
    </w:p>
    <w:p w:rsidR="00955CF2" w:rsidRDefault="00955CF2" w:rsidP="00955CF2">
      <w:pPr>
        <w:pStyle w:val="Nessunaspaziatura"/>
        <w:rPr>
          <w:rFonts w:ascii="Arial" w:hAnsi="Arial" w:cs="Arial"/>
          <w:color w:val="383838"/>
        </w:rPr>
      </w:pPr>
    </w:p>
    <w:p w:rsidR="00955CF2" w:rsidRDefault="00955CF2" w:rsidP="00955CF2">
      <w:pPr>
        <w:pStyle w:val="Nessunaspaziatura"/>
        <w:rPr>
          <w:rFonts w:ascii="Arial" w:hAnsi="Arial" w:cs="Arial"/>
          <w:color w:val="383838"/>
        </w:rPr>
      </w:pPr>
      <w:r>
        <w:rPr>
          <w:rFonts w:ascii="Arial" w:hAnsi="Arial" w:cs="Arial"/>
          <w:color w:val="383838"/>
        </w:rPr>
        <w:t>   </w:t>
      </w:r>
      <w:r>
        <w:rPr>
          <w:rFonts w:ascii="Arial" w:hAnsi="Arial" w:cs="Arial"/>
          <w:color w:val="383838"/>
        </w:rPr>
        <w:t>      </w:t>
      </w:r>
      <w:r>
        <w:rPr>
          <w:rFonts w:ascii="Arial" w:hAnsi="Arial" w:cs="Arial"/>
          <w:color w:val="383838"/>
        </w:rPr>
        <w:t xml:space="preserve">Elio Lannutti (Adusbef) – Rosario </w:t>
      </w:r>
      <w:proofErr w:type="spellStart"/>
      <w:r>
        <w:rPr>
          <w:rFonts w:ascii="Arial" w:hAnsi="Arial" w:cs="Arial"/>
          <w:color w:val="383838"/>
        </w:rPr>
        <w:t>Trefiletti</w:t>
      </w:r>
      <w:proofErr w:type="spellEnd"/>
      <w:r>
        <w:rPr>
          <w:rFonts w:ascii="Arial" w:hAnsi="Arial" w:cs="Arial"/>
          <w:color w:val="383838"/>
        </w:rPr>
        <w:t xml:space="preserve"> (Federconsumatori)</w:t>
      </w:r>
    </w:p>
    <w:p w:rsidR="00955CF2" w:rsidRDefault="00955CF2" w:rsidP="00955CF2">
      <w:pPr>
        <w:pStyle w:val="Nessunaspaziatura"/>
        <w:ind w:left="142"/>
        <w:rPr>
          <w:rFonts w:ascii="Arial" w:hAnsi="Arial" w:cs="Arial"/>
          <w:color w:val="383838"/>
        </w:rPr>
      </w:pPr>
      <w:r>
        <w:rPr>
          <w:rFonts w:ascii="Arial" w:hAnsi="Arial" w:cs="Arial"/>
          <w:color w:val="383838"/>
        </w:rPr>
        <w:t>Roma,8.11.2014</w:t>
      </w:r>
    </w:p>
    <w:p w:rsidR="00955CF2" w:rsidRDefault="00955CF2" w:rsidP="00955CF2">
      <w:pPr>
        <w:rPr>
          <w:rFonts w:ascii="Cambria" w:hAnsi="Cambria"/>
          <w:sz w:val="22"/>
          <w:szCs w:val="22"/>
        </w:rPr>
      </w:pPr>
    </w:p>
    <w:p w:rsidR="00955CF2" w:rsidRDefault="00955CF2" w:rsidP="00955CF2">
      <w:pPr>
        <w:spacing w:before="0" w:after="0"/>
        <w:jc w:val="center"/>
        <w:rPr>
          <w:b/>
          <w:bCs/>
          <w:sz w:val="22"/>
          <w:szCs w:val="22"/>
        </w:rPr>
      </w:pPr>
    </w:p>
    <w:p w:rsidR="00955CF2" w:rsidRDefault="00955CF2" w:rsidP="00955CF2">
      <w:pPr>
        <w:spacing w:before="0" w:after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Anno 2013:  PIL di alcuni paesi UE ed extra UE  tradotto in Capacità di spesa (PPS)</w:t>
      </w:r>
    </w:p>
    <w:p w:rsidR="00955CF2" w:rsidRDefault="00955CF2" w:rsidP="00955CF2">
      <w:pPr>
        <w:spacing w:before="0" w:after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Ultimi dati </w:t>
      </w:r>
      <w:proofErr w:type="spellStart"/>
      <w:r>
        <w:rPr>
          <w:b/>
          <w:bCs/>
          <w:sz w:val="22"/>
          <w:szCs w:val="22"/>
        </w:rPr>
        <w:t>Eurostat</w:t>
      </w:r>
      <w:proofErr w:type="spellEnd"/>
      <w:r>
        <w:rPr>
          <w:b/>
          <w:bCs/>
          <w:sz w:val="22"/>
          <w:szCs w:val="22"/>
        </w:rPr>
        <w:t xml:space="preserve"> pubblicati  nel 2014. Elaborazioni dr. Mauro Novelli (</w:t>
      </w:r>
      <w:proofErr w:type="spellStart"/>
      <w:r>
        <w:rPr>
          <w:b/>
          <w:bCs/>
          <w:sz w:val="22"/>
          <w:szCs w:val="22"/>
        </w:rPr>
        <w:t>Segr</w:t>
      </w:r>
      <w:proofErr w:type="spellEnd"/>
      <w:r>
        <w:rPr>
          <w:b/>
          <w:bCs/>
          <w:sz w:val="22"/>
          <w:szCs w:val="22"/>
        </w:rPr>
        <w:t xml:space="preserve">. </w:t>
      </w:r>
      <w:proofErr w:type="spellStart"/>
      <w:r>
        <w:rPr>
          <w:b/>
          <w:bCs/>
          <w:sz w:val="22"/>
          <w:szCs w:val="22"/>
        </w:rPr>
        <w:t>Naz.Adusbef</w:t>
      </w:r>
      <w:proofErr w:type="spellEnd"/>
      <w:r>
        <w:rPr>
          <w:b/>
          <w:bCs/>
          <w:sz w:val="22"/>
          <w:szCs w:val="22"/>
        </w:rPr>
        <w:t>)</w:t>
      </w:r>
    </w:p>
    <w:p w:rsidR="00955CF2" w:rsidRDefault="00955CF2" w:rsidP="00955CF2">
      <w:pPr>
        <w:spacing w:before="0" w:after="0"/>
        <w:jc w:val="center"/>
        <w:rPr>
          <w:b/>
          <w:bCs/>
          <w:sz w:val="28"/>
          <w:szCs w:val="28"/>
        </w:rPr>
      </w:pPr>
    </w:p>
    <w:tbl>
      <w:tblPr>
        <w:tblW w:w="4329" w:type="pct"/>
        <w:jc w:val="center"/>
        <w:tblCellSpacing w:w="0" w:type="dxa"/>
        <w:tblInd w:w="-22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0"/>
        <w:gridCol w:w="702"/>
        <w:gridCol w:w="664"/>
        <w:gridCol w:w="992"/>
        <w:gridCol w:w="1075"/>
        <w:gridCol w:w="22"/>
        <w:gridCol w:w="25"/>
        <w:gridCol w:w="1420"/>
        <w:gridCol w:w="164"/>
        <w:gridCol w:w="955"/>
        <w:gridCol w:w="736"/>
        <w:gridCol w:w="19"/>
        <w:gridCol w:w="48"/>
      </w:tblGrid>
      <w:tr w:rsidR="00955CF2" w:rsidTr="00955CF2">
        <w:trPr>
          <w:trHeight w:val="360"/>
          <w:tblCellSpacing w:w="0" w:type="dxa"/>
          <w:jc w:val="center"/>
        </w:trPr>
        <w:tc>
          <w:tcPr>
            <w:tcW w:w="9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vAlign w:val="center"/>
          </w:tcPr>
          <w:p w:rsidR="00955CF2" w:rsidRDefault="00955CF2">
            <w:pPr>
              <w:spacing w:before="0" w:after="0" w:line="200" w:lineRule="atLeast"/>
              <w:ind w:left="188"/>
              <w:jc w:val="left"/>
              <w:rPr>
                <w:b/>
                <w:bCs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053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noWrap/>
            <w:vAlign w:val="center"/>
            <w:hideMark/>
          </w:tcPr>
          <w:p w:rsidR="00955CF2" w:rsidRDefault="00955CF2">
            <w:pPr>
              <w:spacing w:before="0" w:after="0" w:line="200" w:lineRule="atLeast"/>
              <w:ind w:right="920"/>
              <w:jc w:val="right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UE (28) = 100</w:t>
            </w:r>
          </w:p>
          <w:p w:rsidR="00955CF2" w:rsidRDefault="00955CF2">
            <w:pPr>
              <w:spacing w:before="0" w:after="0" w:line="200" w:lineRule="atLeast"/>
              <w:ind w:right="877"/>
              <w:jc w:val="right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 xml:space="preserve">Fonte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Eurostat</w:t>
            </w:r>
            <w:proofErr w:type="spellEnd"/>
          </w:p>
        </w:tc>
        <w:tc>
          <w:tcPr>
            <w:tcW w:w="2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55CF2" w:rsidRDefault="00955CF2">
            <w:pPr>
              <w:spacing w:before="0" w:after="0" w:line="200" w:lineRule="atLeast"/>
              <w:jc w:val="center"/>
              <w:rPr>
                <w:b/>
                <w:bCs/>
                <w:color w:val="C00000"/>
                <w:sz w:val="20"/>
                <w:szCs w:val="20"/>
                <w:lang w:eastAsia="en-US"/>
              </w:rPr>
            </w:pPr>
          </w:p>
        </w:tc>
        <w:tc>
          <w:tcPr>
            <w:tcW w:w="1958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vAlign w:val="center"/>
          </w:tcPr>
          <w:p w:rsidR="00955CF2" w:rsidRDefault="00955CF2">
            <w:pPr>
              <w:spacing w:before="0" w:after="0" w:line="200" w:lineRule="atLeast"/>
              <w:jc w:val="center"/>
              <w:rPr>
                <w:b/>
                <w:bCs/>
                <w:color w:val="C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C00000"/>
                <w:sz w:val="20"/>
                <w:szCs w:val="20"/>
                <w:lang w:eastAsia="en-US"/>
              </w:rPr>
              <w:t>ITALIA = 100</w:t>
            </w:r>
          </w:p>
          <w:p w:rsidR="00955CF2" w:rsidRDefault="00955CF2">
            <w:pPr>
              <w:spacing w:before="0" w:after="0" w:line="200" w:lineRule="atLeast"/>
              <w:jc w:val="center"/>
              <w:rPr>
                <w:color w:val="C00000"/>
                <w:sz w:val="20"/>
                <w:szCs w:val="20"/>
                <w:lang w:eastAsia="en-US"/>
              </w:rPr>
            </w:pPr>
          </w:p>
        </w:tc>
        <w:tc>
          <w:tcPr>
            <w:tcW w:w="40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955CF2" w:rsidRDefault="00955C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955CF2" w:rsidTr="00955CF2">
        <w:trPr>
          <w:trHeight w:val="506"/>
          <w:tblCellSpacing w:w="0" w:type="dxa"/>
          <w:jc w:val="center"/>
        </w:trPr>
        <w:tc>
          <w:tcPr>
            <w:tcW w:w="9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vAlign w:val="center"/>
          </w:tcPr>
          <w:p w:rsidR="00955CF2" w:rsidRDefault="00955CF2">
            <w:pPr>
              <w:spacing w:before="0" w:after="0" w:line="200" w:lineRule="atLeast"/>
              <w:ind w:left="188"/>
              <w:jc w:val="left"/>
              <w:rPr>
                <w:b/>
                <w:bCs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4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6E3BC"/>
            <w:noWrap/>
            <w:vAlign w:val="center"/>
            <w:hideMark/>
          </w:tcPr>
          <w:p w:rsidR="00955CF2" w:rsidRDefault="00955CF2">
            <w:pPr>
              <w:spacing w:before="0" w:after="0" w:line="200" w:lineRule="atLeast"/>
              <w:jc w:val="center"/>
              <w:rPr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b/>
                <w:bCs/>
                <w:color w:val="000000"/>
                <w:sz w:val="16"/>
                <w:szCs w:val="16"/>
                <w:lang w:eastAsia="en-US"/>
              </w:rPr>
              <w:t>2002 </w:t>
            </w:r>
          </w:p>
        </w:tc>
        <w:tc>
          <w:tcPr>
            <w:tcW w:w="3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6E3BC"/>
            <w:noWrap/>
            <w:vAlign w:val="center"/>
            <w:hideMark/>
          </w:tcPr>
          <w:p w:rsidR="00955CF2" w:rsidRDefault="00955CF2">
            <w:pPr>
              <w:spacing w:before="0" w:after="0" w:line="200" w:lineRule="atLeast"/>
              <w:jc w:val="center"/>
              <w:rPr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b/>
                <w:bCs/>
                <w:color w:val="000000"/>
                <w:sz w:val="16"/>
                <w:szCs w:val="16"/>
                <w:lang w:eastAsia="en-US"/>
              </w:rPr>
              <w:t>2012 </w:t>
            </w:r>
          </w:p>
        </w:tc>
        <w:tc>
          <w:tcPr>
            <w:tcW w:w="5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noWrap/>
            <w:tcMar>
              <w:top w:w="0" w:type="dxa"/>
              <w:left w:w="0" w:type="dxa"/>
              <w:bottom w:w="0" w:type="dxa"/>
              <w:right w:w="300" w:type="dxa"/>
            </w:tcMar>
            <w:vAlign w:val="center"/>
            <w:hideMark/>
          </w:tcPr>
          <w:p w:rsidR="00955CF2" w:rsidRDefault="00955CF2">
            <w:pPr>
              <w:spacing w:before="0" w:after="0" w:line="200" w:lineRule="atLeast"/>
              <w:ind w:right="-228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2013</w:t>
            </w:r>
          </w:p>
        </w:tc>
        <w:tc>
          <w:tcPr>
            <w:tcW w:w="6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vAlign w:val="center"/>
            <w:hideMark/>
          </w:tcPr>
          <w:p w:rsidR="00955CF2" w:rsidRDefault="00955CF2">
            <w:pPr>
              <w:spacing w:before="0" w:after="0" w:line="200" w:lineRule="atLeast"/>
              <w:ind w:right="-6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Variaz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. 2013 su 2002</w:t>
            </w:r>
          </w:p>
        </w:tc>
        <w:tc>
          <w:tcPr>
            <w:tcW w:w="2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55CF2" w:rsidRDefault="00955CF2">
            <w:pPr>
              <w:spacing w:before="0" w:after="0" w:line="200" w:lineRule="atLeast"/>
              <w:jc w:val="center"/>
              <w:rPr>
                <w:b/>
                <w:bCs/>
                <w:color w:val="C00000"/>
                <w:sz w:val="20"/>
                <w:szCs w:val="20"/>
                <w:lang w:eastAsia="en-US"/>
              </w:rPr>
            </w:pPr>
          </w:p>
        </w:tc>
        <w:tc>
          <w:tcPr>
            <w:tcW w:w="94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vAlign w:val="center"/>
          </w:tcPr>
          <w:p w:rsidR="00955CF2" w:rsidRDefault="00955CF2">
            <w:pPr>
              <w:spacing w:before="0" w:after="0" w:line="200" w:lineRule="atLeast"/>
              <w:jc w:val="center"/>
              <w:rPr>
                <w:b/>
                <w:bCs/>
                <w:color w:val="C00000"/>
                <w:sz w:val="20"/>
                <w:szCs w:val="20"/>
                <w:lang w:eastAsia="en-US"/>
              </w:rPr>
            </w:pPr>
          </w:p>
          <w:p w:rsidR="00955CF2" w:rsidRDefault="00955CF2" w:rsidP="00955CF2">
            <w:pPr>
              <w:spacing w:before="0" w:after="0" w:line="200" w:lineRule="atLeast"/>
              <w:ind w:left="76"/>
              <w:jc w:val="right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C00000"/>
                <w:sz w:val="20"/>
                <w:szCs w:val="20"/>
                <w:lang w:eastAsia="en-US"/>
              </w:rPr>
              <w:t>2013</w:t>
            </w:r>
            <w:r>
              <w:rPr>
                <w:color w:val="C00000"/>
                <w:sz w:val="16"/>
                <w:szCs w:val="16"/>
                <w:lang w:eastAsia="en-US"/>
              </w:rPr>
              <w:t xml:space="preserve">                        </w:t>
            </w:r>
          </w:p>
          <w:p w:rsidR="00955CF2" w:rsidRDefault="00955CF2">
            <w:pPr>
              <w:spacing w:before="0" w:after="0" w:line="200" w:lineRule="atLeast"/>
              <w:jc w:val="right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1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vAlign w:val="center"/>
            <w:hideMark/>
          </w:tcPr>
          <w:p w:rsidR="00955CF2" w:rsidRDefault="00955CF2">
            <w:pPr>
              <w:spacing w:before="0" w:after="0" w:line="200" w:lineRule="atLeast"/>
              <w:jc w:val="center"/>
              <w:rPr>
                <w:b/>
                <w:bCs/>
                <w:color w:val="C00000"/>
                <w:sz w:val="16"/>
                <w:szCs w:val="16"/>
                <w:lang w:eastAsia="en-US"/>
              </w:rPr>
            </w:pPr>
            <w:r>
              <w:rPr>
                <w:b/>
                <w:bCs/>
                <w:color w:val="C00000"/>
                <w:sz w:val="16"/>
                <w:szCs w:val="16"/>
                <w:lang w:eastAsia="en-US"/>
              </w:rPr>
              <w:t xml:space="preserve">2013 </w:t>
            </w:r>
          </w:p>
          <w:p w:rsidR="00955CF2" w:rsidRDefault="00955CF2">
            <w:pPr>
              <w:spacing w:before="0" w:after="0" w:line="200" w:lineRule="atLeast"/>
              <w:jc w:val="center"/>
              <w:rPr>
                <w:b/>
                <w:bCs/>
                <w:color w:val="C00000"/>
                <w:sz w:val="16"/>
                <w:szCs w:val="16"/>
                <w:lang w:eastAsia="en-US"/>
              </w:rPr>
            </w:pPr>
            <w:r>
              <w:rPr>
                <w:b/>
                <w:bCs/>
                <w:color w:val="C00000"/>
                <w:sz w:val="16"/>
                <w:szCs w:val="16"/>
                <w:lang w:eastAsia="en-US"/>
              </w:rPr>
              <w:t>VARIAZ %</w:t>
            </w:r>
          </w:p>
          <w:p w:rsidR="00955CF2" w:rsidRDefault="00955CF2">
            <w:pPr>
              <w:spacing w:before="0" w:after="0" w:line="200" w:lineRule="atLeast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55CF2">
              <w:rPr>
                <w:b/>
                <w:bCs/>
                <w:color w:val="C00000"/>
                <w:sz w:val="22"/>
                <w:szCs w:val="16"/>
                <w:lang w:eastAsia="en-US"/>
              </w:rPr>
              <w:t>su Italia=100</w:t>
            </w:r>
          </w:p>
        </w:tc>
      </w:tr>
      <w:tr w:rsidR="00955CF2" w:rsidTr="00955CF2">
        <w:trPr>
          <w:trHeight w:val="525"/>
          <w:tblCellSpacing w:w="0" w:type="dxa"/>
          <w:jc w:val="center"/>
        </w:trPr>
        <w:tc>
          <w:tcPr>
            <w:tcW w:w="9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vAlign w:val="center"/>
            <w:hideMark/>
          </w:tcPr>
          <w:p w:rsidR="00955CF2" w:rsidRDefault="00955CF2">
            <w:pPr>
              <w:spacing w:before="0" w:after="0" w:line="200" w:lineRule="atLeast"/>
              <w:ind w:left="188"/>
              <w:jc w:val="left"/>
              <w:rPr>
                <w:b/>
                <w:bCs/>
                <w:color w:val="auto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auto"/>
                <w:sz w:val="20"/>
                <w:szCs w:val="20"/>
                <w:lang w:eastAsia="en-US"/>
              </w:rPr>
              <w:t>Germania</w:t>
            </w:r>
          </w:p>
        </w:tc>
        <w:tc>
          <w:tcPr>
            <w:tcW w:w="4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955CF2" w:rsidRDefault="00955CF2">
            <w:pPr>
              <w:spacing w:before="0" w:after="0" w:line="200" w:lineRule="atLeast"/>
              <w:jc w:val="righ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>115 </w:t>
            </w:r>
          </w:p>
        </w:tc>
        <w:tc>
          <w:tcPr>
            <w:tcW w:w="3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955CF2" w:rsidRDefault="00955CF2">
            <w:pPr>
              <w:spacing w:before="0" w:after="0" w:line="200" w:lineRule="atLeast"/>
              <w:jc w:val="righ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>123 </w:t>
            </w:r>
          </w:p>
        </w:tc>
        <w:tc>
          <w:tcPr>
            <w:tcW w:w="5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0" w:type="dxa"/>
              <w:bottom w:w="0" w:type="dxa"/>
              <w:right w:w="300" w:type="dxa"/>
            </w:tcMar>
            <w:vAlign w:val="center"/>
            <w:hideMark/>
          </w:tcPr>
          <w:p w:rsidR="00955CF2" w:rsidRDefault="00955CF2">
            <w:pPr>
              <w:spacing w:before="0" w:after="0" w:line="200" w:lineRule="atLeast"/>
              <w:ind w:right="-228"/>
              <w:jc w:val="center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124</w:t>
            </w:r>
          </w:p>
        </w:tc>
        <w:tc>
          <w:tcPr>
            <w:tcW w:w="6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55CF2" w:rsidRDefault="00955CF2">
            <w:pPr>
              <w:spacing w:before="0" w:after="0" w:line="200" w:lineRule="atLeast"/>
              <w:ind w:right="26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+ 7,8 %</w:t>
            </w:r>
          </w:p>
        </w:tc>
        <w:tc>
          <w:tcPr>
            <w:tcW w:w="2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55CF2" w:rsidRDefault="00955CF2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94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/>
            <w:vAlign w:val="center"/>
            <w:hideMark/>
          </w:tcPr>
          <w:p w:rsidR="00955CF2" w:rsidRDefault="00955CF2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126,5</w:t>
            </w:r>
          </w:p>
        </w:tc>
        <w:tc>
          <w:tcPr>
            <w:tcW w:w="1051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/>
            <w:vAlign w:val="center"/>
            <w:hideMark/>
          </w:tcPr>
          <w:p w:rsidR="00955CF2" w:rsidRDefault="00955CF2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+ 26,5 %</w:t>
            </w:r>
          </w:p>
        </w:tc>
      </w:tr>
      <w:tr w:rsidR="00955CF2" w:rsidTr="00955CF2">
        <w:trPr>
          <w:trHeight w:val="525"/>
          <w:tblCellSpacing w:w="0" w:type="dxa"/>
          <w:jc w:val="center"/>
        </w:trPr>
        <w:tc>
          <w:tcPr>
            <w:tcW w:w="9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vAlign w:val="center"/>
            <w:hideMark/>
          </w:tcPr>
          <w:p w:rsidR="00955CF2" w:rsidRDefault="00955CF2">
            <w:pPr>
              <w:spacing w:before="0" w:after="0" w:line="200" w:lineRule="atLeast"/>
              <w:ind w:left="188"/>
              <w:jc w:val="right"/>
              <w:rPr>
                <w:b/>
                <w:bCs/>
                <w:color w:val="auto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C00000"/>
                <w:sz w:val="20"/>
                <w:szCs w:val="20"/>
                <w:lang w:eastAsia="en-US"/>
              </w:rPr>
              <w:t xml:space="preserve">Zona € (18) </w:t>
            </w:r>
          </w:p>
        </w:tc>
        <w:tc>
          <w:tcPr>
            <w:tcW w:w="4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EF4EC"/>
            <w:noWrap/>
            <w:vAlign w:val="center"/>
            <w:hideMark/>
          </w:tcPr>
          <w:p w:rsidR="00955CF2" w:rsidRDefault="00955CF2">
            <w:pPr>
              <w:spacing w:before="0" w:after="0" w:line="200" w:lineRule="atLeast"/>
              <w:jc w:val="righ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>111 </w:t>
            </w:r>
          </w:p>
        </w:tc>
        <w:tc>
          <w:tcPr>
            <w:tcW w:w="3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EF4EC"/>
            <w:noWrap/>
            <w:vAlign w:val="center"/>
            <w:hideMark/>
          </w:tcPr>
          <w:p w:rsidR="00955CF2" w:rsidRDefault="00955CF2">
            <w:pPr>
              <w:spacing w:before="0" w:after="0" w:line="200" w:lineRule="atLeast"/>
              <w:jc w:val="righ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>108 </w:t>
            </w:r>
          </w:p>
        </w:tc>
        <w:tc>
          <w:tcPr>
            <w:tcW w:w="5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EF4EC"/>
            <w:noWrap/>
            <w:tcMar>
              <w:top w:w="0" w:type="dxa"/>
              <w:left w:w="0" w:type="dxa"/>
              <w:bottom w:w="0" w:type="dxa"/>
              <w:right w:w="300" w:type="dxa"/>
            </w:tcMar>
            <w:vAlign w:val="center"/>
            <w:hideMark/>
          </w:tcPr>
          <w:p w:rsidR="00955CF2" w:rsidRDefault="00955CF2">
            <w:pPr>
              <w:spacing w:before="0" w:after="0" w:line="200" w:lineRule="atLeast"/>
              <w:ind w:right="-228"/>
              <w:jc w:val="center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108</w:t>
            </w:r>
          </w:p>
        </w:tc>
        <w:tc>
          <w:tcPr>
            <w:tcW w:w="6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EF4EC"/>
            <w:vAlign w:val="center"/>
            <w:hideMark/>
          </w:tcPr>
          <w:p w:rsidR="00955CF2" w:rsidRDefault="00955CF2">
            <w:pPr>
              <w:spacing w:before="0" w:after="0" w:line="200" w:lineRule="atLeast"/>
              <w:ind w:right="26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- 2,7 %</w:t>
            </w:r>
          </w:p>
        </w:tc>
        <w:tc>
          <w:tcPr>
            <w:tcW w:w="2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55CF2" w:rsidRDefault="00955CF2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94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EF4EC"/>
            <w:vAlign w:val="center"/>
            <w:hideMark/>
          </w:tcPr>
          <w:p w:rsidR="00955CF2" w:rsidRDefault="00955CF2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110,2</w:t>
            </w:r>
          </w:p>
        </w:tc>
        <w:tc>
          <w:tcPr>
            <w:tcW w:w="1051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EF4EC"/>
            <w:vAlign w:val="center"/>
            <w:hideMark/>
          </w:tcPr>
          <w:p w:rsidR="00955CF2" w:rsidRDefault="00955CF2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+ 10,2 %</w:t>
            </w:r>
          </w:p>
        </w:tc>
      </w:tr>
      <w:tr w:rsidR="00955CF2" w:rsidTr="00955CF2">
        <w:trPr>
          <w:trHeight w:val="525"/>
          <w:tblCellSpacing w:w="0" w:type="dxa"/>
          <w:jc w:val="center"/>
        </w:trPr>
        <w:tc>
          <w:tcPr>
            <w:tcW w:w="9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vAlign w:val="center"/>
            <w:hideMark/>
          </w:tcPr>
          <w:p w:rsidR="00955CF2" w:rsidRDefault="00955CF2">
            <w:pPr>
              <w:spacing w:before="0" w:after="0" w:line="200" w:lineRule="atLeast"/>
              <w:ind w:left="188"/>
              <w:jc w:val="left"/>
              <w:rPr>
                <w:b/>
                <w:bCs/>
                <w:color w:val="auto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auto"/>
                <w:sz w:val="20"/>
                <w:szCs w:val="20"/>
                <w:lang w:eastAsia="en-US"/>
              </w:rPr>
              <w:t>Francia</w:t>
            </w:r>
          </w:p>
        </w:tc>
        <w:tc>
          <w:tcPr>
            <w:tcW w:w="4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955CF2" w:rsidRDefault="00955CF2">
            <w:pPr>
              <w:spacing w:before="0" w:after="0" w:line="200" w:lineRule="atLeast"/>
              <w:jc w:val="righ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>116 </w:t>
            </w:r>
          </w:p>
        </w:tc>
        <w:tc>
          <w:tcPr>
            <w:tcW w:w="3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955CF2" w:rsidRDefault="00955CF2">
            <w:pPr>
              <w:spacing w:before="0" w:after="0" w:line="200" w:lineRule="atLeast"/>
              <w:jc w:val="righ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>109 </w:t>
            </w:r>
          </w:p>
        </w:tc>
        <w:tc>
          <w:tcPr>
            <w:tcW w:w="5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0" w:type="dxa"/>
              <w:bottom w:w="0" w:type="dxa"/>
              <w:right w:w="300" w:type="dxa"/>
            </w:tcMar>
            <w:vAlign w:val="center"/>
            <w:hideMark/>
          </w:tcPr>
          <w:p w:rsidR="00955CF2" w:rsidRDefault="00955CF2">
            <w:pPr>
              <w:spacing w:before="0" w:after="0" w:line="200" w:lineRule="atLeast"/>
              <w:ind w:right="-228"/>
              <w:jc w:val="center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108</w:t>
            </w:r>
          </w:p>
        </w:tc>
        <w:tc>
          <w:tcPr>
            <w:tcW w:w="6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55CF2" w:rsidRDefault="00955CF2">
            <w:pPr>
              <w:spacing w:before="0" w:after="0" w:line="200" w:lineRule="atLeast"/>
              <w:ind w:right="26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- 6,9 %</w:t>
            </w:r>
          </w:p>
        </w:tc>
        <w:tc>
          <w:tcPr>
            <w:tcW w:w="2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55CF2" w:rsidRDefault="00955CF2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94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/>
            <w:vAlign w:val="center"/>
            <w:hideMark/>
          </w:tcPr>
          <w:p w:rsidR="00955CF2" w:rsidRDefault="00955CF2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110,2</w:t>
            </w:r>
          </w:p>
        </w:tc>
        <w:tc>
          <w:tcPr>
            <w:tcW w:w="1051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/>
            <w:vAlign w:val="center"/>
            <w:hideMark/>
          </w:tcPr>
          <w:p w:rsidR="00955CF2" w:rsidRDefault="00955CF2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+ 10,2 %</w:t>
            </w:r>
          </w:p>
        </w:tc>
      </w:tr>
      <w:tr w:rsidR="00955CF2" w:rsidTr="00955CF2">
        <w:trPr>
          <w:trHeight w:val="525"/>
          <w:tblCellSpacing w:w="0" w:type="dxa"/>
          <w:jc w:val="center"/>
        </w:trPr>
        <w:tc>
          <w:tcPr>
            <w:tcW w:w="9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vAlign w:val="center"/>
            <w:hideMark/>
          </w:tcPr>
          <w:p w:rsidR="00955CF2" w:rsidRDefault="00955CF2">
            <w:pPr>
              <w:spacing w:before="0" w:after="0" w:line="200" w:lineRule="atLeast"/>
              <w:ind w:left="188"/>
              <w:jc w:val="left"/>
              <w:rPr>
                <w:b/>
                <w:bCs/>
                <w:color w:val="auto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auto"/>
                <w:sz w:val="20"/>
                <w:szCs w:val="20"/>
                <w:lang w:eastAsia="en-US"/>
              </w:rPr>
              <w:t>Gran Bretagna</w:t>
            </w:r>
          </w:p>
        </w:tc>
        <w:tc>
          <w:tcPr>
            <w:tcW w:w="4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955CF2" w:rsidRDefault="00955CF2">
            <w:pPr>
              <w:spacing w:before="0" w:after="0" w:line="200" w:lineRule="atLeast"/>
              <w:jc w:val="righ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>122 </w:t>
            </w:r>
          </w:p>
        </w:tc>
        <w:tc>
          <w:tcPr>
            <w:tcW w:w="3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955CF2" w:rsidRDefault="00955CF2">
            <w:pPr>
              <w:spacing w:before="0" w:after="0" w:line="200" w:lineRule="atLeast"/>
              <w:jc w:val="righ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>104 </w:t>
            </w:r>
          </w:p>
        </w:tc>
        <w:tc>
          <w:tcPr>
            <w:tcW w:w="5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0" w:type="dxa"/>
              <w:bottom w:w="0" w:type="dxa"/>
              <w:right w:w="300" w:type="dxa"/>
            </w:tcMar>
            <w:vAlign w:val="center"/>
            <w:hideMark/>
          </w:tcPr>
          <w:p w:rsidR="00955CF2" w:rsidRDefault="00955CF2">
            <w:pPr>
              <w:spacing w:before="0" w:after="0" w:line="200" w:lineRule="atLeast"/>
              <w:ind w:right="-228"/>
              <w:jc w:val="center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106</w:t>
            </w:r>
          </w:p>
        </w:tc>
        <w:tc>
          <w:tcPr>
            <w:tcW w:w="6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55CF2" w:rsidRDefault="00955CF2">
            <w:pPr>
              <w:spacing w:before="0" w:after="0" w:line="200" w:lineRule="atLeast"/>
              <w:ind w:right="26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- 13,1 %</w:t>
            </w:r>
          </w:p>
        </w:tc>
        <w:tc>
          <w:tcPr>
            <w:tcW w:w="2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55CF2" w:rsidRDefault="00955CF2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94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/>
            <w:vAlign w:val="center"/>
            <w:hideMark/>
          </w:tcPr>
          <w:p w:rsidR="00955CF2" w:rsidRDefault="00955CF2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108,2</w:t>
            </w:r>
          </w:p>
        </w:tc>
        <w:tc>
          <w:tcPr>
            <w:tcW w:w="1051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/>
            <w:vAlign w:val="center"/>
            <w:hideMark/>
          </w:tcPr>
          <w:p w:rsidR="00955CF2" w:rsidRDefault="00955CF2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+ 8,2 %</w:t>
            </w:r>
          </w:p>
        </w:tc>
      </w:tr>
      <w:tr w:rsidR="00955CF2" w:rsidTr="00955CF2">
        <w:trPr>
          <w:trHeight w:val="525"/>
          <w:tblCellSpacing w:w="0" w:type="dxa"/>
          <w:jc w:val="center"/>
        </w:trPr>
        <w:tc>
          <w:tcPr>
            <w:tcW w:w="9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vAlign w:val="center"/>
            <w:hideMark/>
          </w:tcPr>
          <w:p w:rsidR="00955CF2" w:rsidRDefault="00955CF2">
            <w:pPr>
              <w:spacing w:before="0" w:after="0" w:line="200" w:lineRule="atLeast"/>
              <w:ind w:left="188" w:right="23"/>
              <w:jc w:val="right"/>
              <w:rPr>
                <w:b/>
                <w:bCs/>
                <w:color w:val="auto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C00000"/>
                <w:sz w:val="20"/>
                <w:szCs w:val="20"/>
                <w:lang w:eastAsia="en-US"/>
              </w:rPr>
              <w:t>UE (28)</w:t>
            </w:r>
          </w:p>
        </w:tc>
        <w:tc>
          <w:tcPr>
            <w:tcW w:w="4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EF4EC"/>
            <w:noWrap/>
            <w:vAlign w:val="center"/>
            <w:hideMark/>
          </w:tcPr>
          <w:p w:rsidR="00955CF2" w:rsidRDefault="00955CF2">
            <w:pPr>
              <w:spacing w:before="0" w:after="0" w:line="200" w:lineRule="atLeast"/>
              <w:jc w:val="righ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>100 </w:t>
            </w:r>
          </w:p>
        </w:tc>
        <w:tc>
          <w:tcPr>
            <w:tcW w:w="3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EF4EC"/>
            <w:noWrap/>
            <w:vAlign w:val="center"/>
            <w:hideMark/>
          </w:tcPr>
          <w:p w:rsidR="00955CF2" w:rsidRDefault="00955CF2">
            <w:pPr>
              <w:spacing w:before="0" w:after="0" w:line="200" w:lineRule="atLeast"/>
              <w:jc w:val="righ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>100 </w:t>
            </w:r>
          </w:p>
        </w:tc>
        <w:tc>
          <w:tcPr>
            <w:tcW w:w="5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EF4EC"/>
            <w:noWrap/>
            <w:tcMar>
              <w:top w:w="0" w:type="dxa"/>
              <w:left w:w="0" w:type="dxa"/>
              <w:bottom w:w="0" w:type="dxa"/>
              <w:right w:w="300" w:type="dxa"/>
            </w:tcMar>
            <w:vAlign w:val="center"/>
            <w:hideMark/>
          </w:tcPr>
          <w:p w:rsidR="00955CF2" w:rsidRDefault="00955CF2">
            <w:pPr>
              <w:spacing w:before="0" w:after="0" w:line="200" w:lineRule="atLeast"/>
              <w:ind w:right="-228"/>
              <w:jc w:val="center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6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EF4EC"/>
            <w:vAlign w:val="center"/>
            <w:hideMark/>
          </w:tcPr>
          <w:p w:rsidR="00955CF2" w:rsidRDefault="00955CF2">
            <w:pPr>
              <w:spacing w:before="0" w:after="0" w:line="200" w:lineRule="atLeast"/>
              <w:ind w:right="26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0 %</w:t>
            </w:r>
          </w:p>
        </w:tc>
        <w:tc>
          <w:tcPr>
            <w:tcW w:w="2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55CF2" w:rsidRDefault="00955CF2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94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EF4EC"/>
            <w:vAlign w:val="center"/>
            <w:hideMark/>
          </w:tcPr>
          <w:p w:rsidR="00955CF2" w:rsidRDefault="00955CF2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102,0</w:t>
            </w:r>
          </w:p>
        </w:tc>
        <w:tc>
          <w:tcPr>
            <w:tcW w:w="1051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EF4EC"/>
            <w:vAlign w:val="center"/>
            <w:hideMark/>
          </w:tcPr>
          <w:p w:rsidR="00955CF2" w:rsidRDefault="00955CF2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+ 2,0 %</w:t>
            </w:r>
          </w:p>
        </w:tc>
      </w:tr>
      <w:tr w:rsidR="00955CF2" w:rsidTr="00955CF2">
        <w:trPr>
          <w:trHeight w:val="525"/>
          <w:tblCellSpacing w:w="0" w:type="dxa"/>
          <w:jc w:val="center"/>
        </w:trPr>
        <w:tc>
          <w:tcPr>
            <w:tcW w:w="9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vAlign w:val="center"/>
            <w:hideMark/>
          </w:tcPr>
          <w:p w:rsidR="00955CF2" w:rsidRDefault="00955CF2">
            <w:pPr>
              <w:spacing w:before="0" w:after="0" w:line="200" w:lineRule="atLeast"/>
              <w:ind w:left="188"/>
              <w:jc w:val="left"/>
              <w:rPr>
                <w:b/>
                <w:bCs/>
                <w:color w:val="C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C00000"/>
                <w:sz w:val="20"/>
                <w:szCs w:val="20"/>
                <w:lang w:eastAsia="en-US"/>
              </w:rPr>
              <w:t>Italia</w:t>
            </w:r>
          </w:p>
        </w:tc>
        <w:tc>
          <w:tcPr>
            <w:tcW w:w="4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955CF2" w:rsidRDefault="00955CF2">
            <w:pPr>
              <w:spacing w:before="0" w:after="0" w:line="200" w:lineRule="atLeast"/>
              <w:jc w:val="right"/>
              <w:rPr>
                <w:b/>
                <w:bCs/>
                <w:color w:val="C00000"/>
                <w:sz w:val="16"/>
                <w:szCs w:val="16"/>
                <w:lang w:eastAsia="en-US"/>
              </w:rPr>
            </w:pPr>
            <w:r>
              <w:rPr>
                <w:b/>
                <w:bCs/>
                <w:color w:val="C00000"/>
                <w:sz w:val="16"/>
                <w:szCs w:val="16"/>
                <w:lang w:eastAsia="en-US"/>
              </w:rPr>
              <w:t>113 </w:t>
            </w:r>
          </w:p>
        </w:tc>
        <w:tc>
          <w:tcPr>
            <w:tcW w:w="3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955CF2" w:rsidRDefault="00955CF2">
            <w:pPr>
              <w:spacing w:before="0" w:after="0" w:line="200" w:lineRule="atLeast"/>
              <w:jc w:val="right"/>
              <w:rPr>
                <w:b/>
                <w:bCs/>
                <w:color w:val="C00000"/>
                <w:sz w:val="16"/>
                <w:szCs w:val="16"/>
                <w:lang w:eastAsia="en-US"/>
              </w:rPr>
            </w:pPr>
            <w:r>
              <w:rPr>
                <w:b/>
                <w:bCs/>
                <w:color w:val="C00000"/>
                <w:sz w:val="16"/>
                <w:szCs w:val="16"/>
                <w:lang w:eastAsia="en-US"/>
              </w:rPr>
              <w:t>100 </w:t>
            </w:r>
          </w:p>
        </w:tc>
        <w:tc>
          <w:tcPr>
            <w:tcW w:w="5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0" w:type="dxa"/>
              <w:bottom w:w="0" w:type="dxa"/>
              <w:right w:w="300" w:type="dxa"/>
            </w:tcMar>
            <w:vAlign w:val="center"/>
            <w:hideMark/>
          </w:tcPr>
          <w:p w:rsidR="00955CF2" w:rsidRDefault="00955CF2">
            <w:pPr>
              <w:spacing w:before="0" w:after="0" w:line="200" w:lineRule="atLeast"/>
              <w:ind w:right="-228"/>
              <w:jc w:val="center"/>
              <w:rPr>
                <w:b/>
                <w:bCs/>
                <w:color w:val="C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C00000"/>
                <w:sz w:val="20"/>
                <w:szCs w:val="20"/>
                <w:lang w:eastAsia="en-US"/>
              </w:rPr>
              <w:t>98</w:t>
            </w:r>
          </w:p>
        </w:tc>
        <w:tc>
          <w:tcPr>
            <w:tcW w:w="6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55CF2" w:rsidRDefault="00955CF2">
            <w:pPr>
              <w:spacing w:before="0" w:after="0" w:line="200" w:lineRule="atLeast"/>
              <w:ind w:right="26"/>
              <w:jc w:val="right"/>
              <w:rPr>
                <w:b/>
                <w:bCs/>
                <w:color w:val="C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C00000"/>
                <w:sz w:val="20"/>
                <w:szCs w:val="20"/>
                <w:lang w:eastAsia="en-US"/>
              </w:rPr>
              <w:t>- 13,3 %</w:t>
            </w:r>
          </w:p>
        </w:tc>
        <w:tc>
          <w:tcPr>
            <w:tcW w:w="2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55CF2" w:rsidRDefault="00955CF2">
            <w:pPr>
              <w:spacing w:before="0" w:after="0" w:line="200" w:lineRule="atLeast"/>
              <w:ind w:right="185"/>
              <w:jc w:val="right"/>
              <w:rPr>
                <w:b/>
                <w:bCs/>
                <w:color w:val="C00000"/>
                <w:sz w:val="20"/>
                <w:szCs w:val="20"/>
                <w:lang w:eastAsia="en-US"/>
              </w:rPr>
            </w:pPr>
          </w:p>
        </w:tc>
        <w:tc>
          <w:tcPr>
            <w:tcW w:w="94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/>
            <w:vAlign w:val="center"/>
            <w:hideMark/>
          </w:tcPr>
          <w:p w:rsidR="00955CF2" w:rsidRDefault="00955CF2">
            <w:pPr>
              <w:spacing w:before="0" w:after="0" w:line="200" w:lineRule="atLeast"/>
              <w:ind w:right="185"/>
              <w:jc w:val="right"/>
              <w:rPr>
                <w:b/>
                <w:bCs/>
                <w:color w:val="FF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C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051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/>
            <w:vAlign w:val="center"/>
            <w:hideMark/>
          </w:tcPr>
          <w:p w:rsidR="00955CF2" w:rsidRDefault="00955CF2">
            <w:pPr>
              <w:spacing w:before="0" w:after="0" w:line="200" w:lineRule="atLeast"/>
              <w:ind w:right="185"/>
              <w:jc w:val="right"/>
              <w:rPr>
                <w:b/>
                <w:bCs/>
                <w:color w:val="FF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FF0000"/>
                <w:sz w:val="20"/>
                <w:szCs w:val="20"/>
                <w:lang w:eastAsia="en-US"/>
              </w:rPr>
              <w:t>///</w:t>
            </w:r>
          </w:p>
        </w:tc>
      </w:tr>
      <w:tr w:rsidR="00955CF2" w:rsidTr="00955CF2">
        <w:trPr>
          <w:trHeight w:val="525"/>
          <w:tblCellSpacing w:w="0" w:type="dxa"/>
          <w:jc w:val="center"/>
        </w:trPr>
        <w:tc>
          <w:tcPr>
            <w:tcW w:w="9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vAlign w:val="center"/>
            <w:hideMark/>
          </w:tcPr>
          <w:p w:rsidR="00955CF2" w:rsidRDefault="00955CF2">
            <w:pPr>
              <w:spacing w:before="0" w:after="0" w:line="200" w:lineRule="atLeast"/>
              <w:ind w:left="188"/>
              <w:jc w:val="left"/>
              <w:rPr>
                <w:b/>
                <w:bCs/>
                <w:color w:val="auto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auto"/>
                <w:sz w:val="20"/>
                <w:szCs w:val="20"/>
                <w:lang w:eastAsia="en-US"/>
              </w:rPr>
              <w:t>Spagna</w:t>
            </w:r>
          </w:p>
        </w:tc>
        <w:tc>
          <w:tcPr>
            <w:tcW w:w="4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955CF2" w:rsidRDefault="00955CF2">
            <w:pPr>
              <w:spacing w:before="0" w:after="0" w:line="200" w:lineRule="atLeast"/>
              <w:jc w:val="righ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>101 </w:t>
            </w:r>
          </w:p>
        </w:tc>
        <w:tc>
          <w:tcPr>
            <w:tcW w:w="3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955CF2" w:rsidRDefault="00955CF2">
            <w:pPr>
              <w:spacing w:before="0" w:after="0" w:line="200" w:lineRule="atLeast"/>
              <w:jc w:val="righ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>96 </w:t>
            </w:r>
          </w:p>
        </w:tc>
        <w:tc>
          <w:tcPr>
            <w:tcW w:w="5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0" w:type="dxa"/>
              <w:bottom w:w="0" w:type="dxa"/>
              <w:right w:w="300" w:type="dxa"/>
            </w:tcMar>
            <w:vAlign w:val="center"/>
            <w:hideMark/>
          </w:tcPr>
          <w:p w:rsidR="00955CF2" w:rsidRDefault="00955CF2">
            <w:pPr>
              <w:spacing w:before="0" w:after="0" w:line="200" w:lineRule="atLeast"/>
              <w:ind w:right="-228"/>
              <w:jc w:val="center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95</w:t>
            </w:r>
          </w:p>
        </w:tc>
        <w:tc>
          <w:tcPr>
            <w:tcW w:w="6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55CF2" w:rsidRDefault="00955CF2">
            <w:pPr>
              <w:spacing w:before="0" w:after="0" w:line="200" w:lineRule="atLeast"/>
              <w:ind w:right="26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- 5,9 %</w:t>
            </w:r>
          </w:p>
        </w:tc>
        <w:tc>
          <w:tcPr>
            <w:tcW w:w="2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55CF2" w:rsidRDefault="00955CF2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94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/>
            <w:vAlign w:val="center"/>
            <w:hideMark/>
          </w:tcPr>
          <w:p w:rsidR="00955CF2" w:rsidRDefault="00955CF2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96,9</w:t>
            </w:r>
          </w:p>
        </w:tc>
        <w:tc>
          <w:tcPr>
            <w:tcW w:w="1051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/>
            <w:vAlign w:val="center"/>
            <w:hideMark/>
          </w:tcPr>
          <w:p w:rsidR="00955CF2" w:rsidRDefault="00955CF2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- 3,1 %</w:t>
            </w:r>
          </w:p>
        </w:tc>
      </w:tr>
      <w:tr w:rsidR="00955CF2" w:rsidTr="00955CF2">
        <w:trPr>
          <w:trHeight w:val="56"/>
          <w:tblCellSpacing w:w="0" w:type="dxa"/>
          <w:jc w:val="center"/>
        </w:trPr>
        <w:tc>
          <w:tcPr>
            <w:tcW w:w="9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955CF2" w:rsidRDefault="00955CF2">
            <w:pPr>
              <w:spacing w:before="0" w:after="0" w:line="200" w:lineRule="atLeast"/>
              <w:ind w:left="188"/>
              <w:jc w:val="left"/>
              <w:rPr>
                <w:b/>
                <w:bCs/>
                <w:color w:val="auto"/>
                <w:sz w:val="8"/>
                <w:szCs w:val="8"/>
                <w:lang w:eastAsia="en-US"/>
              </w:rPr>
            </w:pPr>
          </w:p>
        </w:tc>
        <w:tc>
          <w:tcPr>
            <w:tcW w:w="4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center"/>
          </w:tcPr>
          <w:p w:rsidR="00955CF2" w:rsidRDefault="00955CF2">
            <w:pPr>
              <w:spacing w:before="0" w:after="0" w:line="200" w:lineRule="atLeast"/>
              <w:jc w:val="right"/>
              <w:rPr>
                <w:color w:val="auto"/>
                <w:sz w:val="8"/>
                <w:szCs w:val="8"/>
                <w:lang w:eastAsia="en-US"/>
              </w:rPr>
            </w:pPr>
          </w:p>
        </w:tc>
        <w:tc>
          <w:tcPr>
            <w:tcW w:w="3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center"/>
          </w:tcPr>
          <w:p w:rsidR="00955CF2" w:rsidRDefault="00955CF2">
            <w:pPr>
              <w:spacing w:before="0" w:after="0" w:line="200" w:lineRule="atLeast"/>
              <w:jc w:val="right"/>
              <w:rPr>
                <w:color w:val="auto"/>
                <w:sz w:val="8"/>
                <w:szCs w:val="8"/>
                <w:lang w:eastAsia="en-US"/>
              </w:rPr>
            </w:pPr>
          </w:p>
        </w:tc>
        <w:tc>
          <w:tcPr>
            <w:tcW w:w="5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0" w:type="dxa"/>
              <w:bottom w:w="0" w:type="dxa"/>
              <w:right w:w="300" w:type="dxa"/>
            </w:tcMar>
            <w:vAlign w:val="center"/>
          </w:tcPr>
          <w:p w:rsidR="00955CF2" w:rsidRDefault="00955CF2">
            <w:pPr>
              <w:spacing w:before="0" w:after="0" w:line="200" w:lineRule="atLeast"/>
              <w:ind w:right="-228"/>
              <w:jc w:val="center"/>
              <w:rPr>
                <w:color w:val="auto"/>
                <w:sz w:val="8"/>
                <w:szCs w:val="8"/>
                <w:lang w:eastAsia="en-US"/>
              </w:rPr>
            </w:pPr>
          </w:p>
        </w:tc>
        <w:tc>
          <w:tcPr>
            <w:tcW w:w="6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955CF2" w:rsidRDefault="00955CF2">
            <w:pPr>
              <w:spacing w:before="0" w:after="0" w:line="200" w:lineRule="atLeast"/>
              <w:ind w:right="26"/>
              <w:jc w:val="right"/>
              <w:rPr>
                <w:color w:val="auto"/>
                <w:sz w:val="8"/>
                <w:szCs w:val="8"/>
                <w:lang w:eastAsia="en-US"/>
              </w:rPr>
            </w:pPr>
          </w:p>
        </w:tc>
        <w:tc>
          <w:tcPr>
            <w:tcW w:w="2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:rsidR="00955CF2" w:rsidRDefault="00955CF2">
            <w:pPr>
              <w:spacing w:before="0" w:after="0" w:line="200" w:lineRule="atLeast"/>
              <w:ind w:right="185"/>
              <w:jc w:val="right"/>
              <w:rPr>
                <w:color w:val="auto"/>
                <w:sz w:val="8"/>
                <w:szCs w:val="8"/>
                <w:lang w:eastAsia="en-US"/>
              </w:rPr>
            </w:pPr>
          </w:p>
        </w:tc>
        <w:tc>
          <w:tcPr>
            <w:tcW w:w="94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955CF2" w:rsidRDefault="00955CF2">
            <w:pPr>
              <w:spacing w:before="0" w:after="0" w:line="200" w:lineRule="atLeast"/>
              <w:ind w:right="185"/>
              <w:jc w:val="right"/>
              <w:rPr>
                <w:color w:val="auto"/>
                <w:sz w:val="8"/>
                <w:szCs w:val="8"/>
                <w:lang w:eastAsia="en-US"/>
              </w:rPr>
            </w:pPr>
          </w:p>
        </w:tc>
        <w:tc>
          <w:tcPr>
            <w:tcW w:w="1051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955CF2" w:rsidRDefault="00955CF2">
            <w:pPr>
              <w:spacing w:before="0" w:after="0" w:line="200" w:lineRule="atLeast"/>
              <w:ind w:right="185"/>
              <w:jc w:val="right"/>
              <w:rPr>
                <w:color w:val="auto"/>
                <w:sz w:val="8"/>
                <w:szCs w:val="8"/>
                <w:lang w:eastAsia="en-US"/>
              </w:rPr>
            </w:pPr>
          </w:p>
        </w:tc>
      </w:tr>
      <w:tr w:rsidR="00955CF2" w:rsidTr="00955CF2">
        <w:trPr>
          <w:trHeight w:val="525"/>
          <w:tblCellSpacing w:w="0" w:type="dxa"/>
          <w:jc w:val="center"/>
        </w:trPr>
        <w:tc>
          <w:tcPr>
            <w:tcW w:w="9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vAlign w:val="center"/>
            <w:hideMark/>
          </w:tcPr>
          <w:p w:rsidR="00955CF2" w:rsidRDefault="00955CF2">
            <w:pPr>
              <w:spacing w:before="0" w:after="0" w:line="200" w:lineRule="atLeast"/>
              <w:ind w:left="188"/>
              <w:jc w:val="left"/>
              <w:rPr>
                <w:b/>
                <w:bCs/>
                <w:color w:val="auto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auto"/>
                <w:sz w:val="20"/>
                <w:szCs w:val="20"/>
                <w:lang w:eastAsia="en-US"/>
              </w:rPr>
              <w:t>Stati Uniti</w:t>
            </w:r>
          </w:p>
        </w:tc>
        <w:tc>
          <w:tcPr>
            <w:tcW w:w="4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955CF2" w:rsidRDefault="00955CF2">
            <w:pPr>
              <w:spacing w:before="0" w:after="0" w:line="200" w:lineRule="atLeast"/>
              <w:jc w:val="righ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>159 </w:t>
            </w:r>
          </w:p>
        </w:tc>
        <w:tc>
          <w:tcPr>
            <w:tcW w:w="3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955CF2" w:rsidRDefault="00955CF2">
            <w:pPr>
              <w:spacing w:before="0" w:after="0" w:line="200" w:lineRule="atLeast"/>
              <w:jc w:val="righ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>155 </w:t>
            </w:r>
          </w:p>
        </w:tc>
        <w:tc>
          <w:tcPr>
            <w:tcW w:w="5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0" w:type="dxa"/>
              <w:bottom w:w="0" w:type="dxa"/>
              <w:right w:w="300" w:type="dxa"/>
            </w:tcMar>
            <w:vAlign w:val="center"/>
            <w:hideMark/>
          </w:tcPr>
          <w:p w:rsidR="00955CF2" w:rsidRDefault="00955CF2">
            <w:pPr>
              <w:spacing w:before="0" w:after="0" w:line="200" w:lineRule="atLeast"/>
              <w:ind w:right="-228"/>
              <w:jc w:val="center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155</w:t>
            </w:r>
          </w:p>
        </w:tc>
        <w:tc>
          <w:tcPr>
            <w:tcW w:w="6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55CF2" w:rsidRDefault="00955CF2">
            <w:pPr>
              <w:spacing w:before="0" w:after="0" w:line="200" w:lineRule="atLeast"/>
              <w:ind w:right="26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- 2,5 %</w:t>
            </w:r>
          </w:p>
        </w:tc>
        <w:tc>
          <w:tcPr>
            <w:tcW w:w="2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55CF2" w:rsidRDefault="00955CF2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94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/>
            <w:vAlign w:val="center"/>
            <w:hideMark/>
          </w:tcPr>
          <w:p w:rsidR="00955CF2" w:rsidRDefault="00955CF2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158,2</w:t>
            </w:r>
          </w:p>
        </w:tc>
        <w:tc>
          <w:tcPr>
            <w:tcW w:w="1051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/>
            <w:vAlign w:val="center"/>
            <w:hideMark/>
          </w:tcPr>
          <w:p w:rsidR="00955CF2" w:rsidRDefault="00955CF2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+ 58,2 %</w:t>
            </w:r>
          </w:p>
        </w:tc>
      </w:tr>
      <w:tr w:rsidR="00955CF2" w:rsidTr="00955CF2">
        <w:trPr>
          <w:trHeight w:val="525"/>
          <w:tblCellSpacing w:w="0" w:type="dxa"/>
          <w:jc w:val="center"/>
        </w:trPr>
        <w:tc>
          <w:tcPr>
            <w:tcW w:w="9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vAlign w:val="center"/>
            <w:hideMark/>
          </w:tcPr>
          <w:p w:rsidR="00955CF2" w:rsidRDefault="00955CF2">
            <w:pPr>
              <w:spacing w:before="0" w:after="0" w:line="200" w:lineRule="atLeast"/>
              <w:ind w:left="188"/>
              <w:jc w:val="left"/>
              <w:rPr>
                <w:b/>
                <w:bCs/>
                <w:color w:val="auto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auto"/>
                <w:sz w:val="20"/>
                <w:szCs w:val="20"/>
                <w:lang w:eastAsia="en-US"/>
              </w:rPr>
              <w:t>Giappone</w:t>
            </w:r>
          </w:p>
        </w:tc>
        <w:tc>
          <w:tcPr>
            <w:tcW w:w="4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955CF2" w:rsidRDefault="00955CF2">
            <w:pPr>
              <w:spacing w:before="0" w:after="0" w:line="200" w:lineRule="atLeast"/>
              <w:jc w:val="righ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>114 </w:t>
            </w:r>
          </w:p>
        </w:tc>
        <w:tc>
          <w:tcPr>
            <w:tcW w:w="3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955CF2" w:rsidRDefault="00955CF2">
            <w:pPr>
              <w:spacing w:before="0" w:after="0" w:line="200" w:lineRule="atLeast"/>
              <w:jc w:val="righ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>106 </w:t>
            </w:r>
          </w:p>
        </w:tc>
        <w:tc>
          <w:tcPr>
            <w:tcW w:w="5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0" w:type="dxa"/>
              <w:bottom w:w="0" w:type="dxa"/>
              <w:right w:w="300" w:type="dxa"/>
            </w:tcMar>
            <w:vAlign w:val="center"/>
            <w:hideMark/>
          </w:tcPr>
          <w:p w:rsidR="00955CF2" w:rsidRDefault="00955CF2">
            <w:pPr>
              <w:spacing w:before="0" w:after="0" w:line="200" w:lineRule="atLeast"/>
              <w:ind w:right="-228"/>
              <w:jc w:val="center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106</w:t>
            </w:r>
          </w:p>
        </w:tc>
        <w:tc>
          <w:tcPr>
            <w:tcW w:w="6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55CF2" w:rsidRDefault="00955CF2">
            <w:pPr>
              <w:spacing w:before="0" w:after="0" w:line="200" w:lineRule="atLeast"/>
              <w:ind w:right="26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- 7,0 %</w:t>
            </w:r>
          </w:p>
        </w:tc>
        <w:tc>
          <w:tcPr>
            <w:tcW w:w="2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55CF2" w:rsidRDefault="00955CF2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94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/>
            <w:vAlign w:val="center"/>
            <w:hideMark/>
          </w:tcPr>
          <w:p w:rsidR="00955CF2" w:rsidRDefault="00955CF2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108,1</w:t>
            </w:r>
          </w:p>
        </w:tc>
        <w:tc>
          <w:tcPr>
            <w:tcW w:w="1051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/>
            <w:vAlign w:val="center"/>
            <w:hideMark/>
          </w:tcPr>
          <w:p w:rsidR="00955CF2" w:rsidRDefault="00955CF2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+ 8,1 %</w:t>
            </w:r>
          </w:p>
        </w:tc>
      </w:tr>
      <w:tr w:rsidR="00955CF2" w:rsidTr="00955CF2">
        <w:trPr>
          <w:gridAfter w:val="1"/>
          <w:wAfter w:w="29" w:type="pct"/>
          <w:tblCellSpacing w:w="0" w:type="dxa"/>
          <w:jc w:val="center"/>
        </w:trPr>
        <w:tc>
          <w:tcPr>
            <w:tcW w:w="92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5CF2" w:rsidRDefault="00955CF2">
            <w:pPr>
              <w:spacing w:before="0" w:after="0"/>
              <w:jc w:val="left"/>
              <w:rPr>
                <w:rFonts w:ascii="Times New Roman" w:eastAsia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5CF2" w:rsidRDefault="00955CF2">
            <w:pPr>
              <w:spacing w:before="0" w:after="0"/>
              <w:jc w:val="left"/>
              <w:rPr>
                <w:rFonts w:ascii="Times New Roman" w:eastAsia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5CF2" w:rsidRDefault="00955CF2">
            <w:pPr>
              <w:spacing w:before="0" w:after="0"/>
              <w:jc w:val="left"/>
              <w:rPr>
                <w:rFonts w:ascii="Times New Roman" w:eastAsia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5CF2" w:rsidRDefault="00955CF2">
            <w:pPr>
              <w:spacing w:before="0" w:after="0"/>
              <w:jc w:val="left"/>
              <w:rPr>
                <w:rFonts w:ascii="Times New Roman" w:eastAsia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5CF2" w:rsidRDefault="00955CF2">
            <w:pPr>
              <w:spacing w:before="0" w:after="0"/>
              <w:jc w:val="left"/>
              <w:rPr>
                <w:rFonts w:ascii="Times New Roman" w:eastAsia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5CF2" w:rsidRDefault="00955CF2">
            <w:pPr>
              <w:spacing w:before="0" w:after="0"/>
              <w:jc w:val="left"/>
              <w:rPr>
                <w:rFonts w:ascii="Times New Roman" w:eastAsia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864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5CF2" w:rsidRDefault="00955CF2">
            <w:pPr>
              <w:spacing w:before="0" w:after="0"/>
              <w:jc w:val="left"/>
              <w:rPr>
                <w:rFonts w:ascii="Times New Roman" w:eastAsia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66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5CF2" w:rsidRDefault="00955CF2">
            <w:pPr>
              <w:spacing w:before="0" w:after="0"/>
              <w:jc w:val="left"/>
              <w:rPr>
                <w:rFonts w:ascii="Times New Roman" w:eastAsia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5CF2" w:rsidRDefault="00955CF2">
            <w:pPr>
              <w:spacing w:before="0" w:after="0"/>
              <w:jc w:val="left"/>
              <w:rPr>
                <w:rFonts w:ascii="Times New Roman" w:eastAsia="Times New Roman" w:hAnsi="Times New Roman"/>
                <w:color w:val="auto"/>
                <w:sz w:val="20"/>
                <w:szCs w:val="20"/>
              </w:rPr>
            </w:pPr>
          </w:p>
        </w:tc>
      </w:tr>
    </w:tbl>
    <w:p w:rsidR="00955CF2" w:rsidRDefault="00955CF2" w:rsidP="00955CF2"/>
    <w:p w:rsidR="00955CF2" w:rsidRDefault="00955CF2" w:rsidP="00955CF2">
      <w:pPr>
        <w:rPr>
          <w:rFonts w:ascii="Calibri" w:hAnsi="Calibri"/>
          <w:color w:val="auto"/>
          <w:sz w:val="22"/>
          <w:szCs w:val="22"/>
        </w:rPr>
      </w:pPr>
    </w:p>
    <w:p w:rsidR="00C200C3" w:rsidRDefault="00C200C3"/>
    <w:sectPr w:rsidR="00C200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751984"/>
    <w:multiLevelType w:val="hybridMultilevel"/>
    <w:tmpl w:val="10E0E804"/>
    <w:lvl w:ilvl="0" w:tplc="0F324F8A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9"/>
  <w:proofState w:spelling="clean"/>
  <w:defaultTabStop w:val="708"/>
  <w:hyphenationZone w:val="283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CF2"/>
    <w:rsid w:val="00073741"/>
    <w:rsid w:val="00130235"/>
    <w:rsid w:val="001A3C40"/>
    <w:rsid w:val="001D07B7"/>
    <w:rsid w:val="001D0D71"/>
    <w:rsid w:val="002E4C34"/>
    <w:rsid w:val="00370059"/>
    <w:rsid w:val="00424BEE"/>
    <w:rsid w:val="004B0A7D"/>
    <w:rsid w:val="004B75D8"/>
    <w:rsid w:val="004F322C"/>
    <w:rsid w:val="005057D6"/>
    <w:rsid w:val="00535F48"/>
    <w:rsid w:val="005F3BF0"/>
    <w:rsid w:val="00632BCB"/>
    <w:rsid w:val="007339EC"/>
    <w:rsid w:val="00754201"/>
    <w:rsid w:val="00873879"/>
    <w:rsid w:val="0094402A"/>
    <w:rsid w:val="00955CF2"/>
    <w:rsid w:val="0098615F"/>
    <w:rsid w:val="009B4EA1"/>
    <w:rsid w:val="00A42182"/>
    <w:rsid w:val="00B03057"/>
    <w:rsid w:val="00B35AE5"/>
    <w:rsid w:val="00B90F78"/>
    <w:rsid w:val="00C200C3"/>
    <w:rsid w:val="00C55771"/>
    <w:rsid w:val="00C76E16"/>
    <w:rsid w:val="00C848D3"/>
    <w:rsid w:val="00D05D56"/>
    <w:rsid w:val="00D07FAE"/>
    <w:rsid w:val="00D136AC"/>
    <w:rsid w:val="00D709E1"/>
    <w:rsid w:val="00DB5BBF"/>
    <w:rsid w:val="00E612FB"/>
    <w:rsid w:val="00EE7D98"/>
    <w:rsid w:val="00F43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 Gothic" w:eastAsiaTheme="minorHAnsi" w:hAnsi="Century Gothic" w:cs="Times New Roman"/>
        <w:bCs/>
        <w:iCs/>
        <w:kern w:val="36"/>
        <w:sz w:val="22"/>
        <w:szCs w:val="22"/>
        <w:lang w:val="it-IT" w:eastAsia="en-US" w:bidi="ar-SA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55CF2"/>
    <w:rPr>
      <w:bCs w:val="0"/>
      <w:iCs w:val="0"/>
      <w:color w:val="17365D"/>
      <w:kern w:val="0"/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535F48"/>
    <w:pPr>
      <w:keepNext/>
      <w:spacing w:before="240" w:after="60"/>
      <w:ind w:left="480" w:right="34"/>
      <w:jc w:val="center"/>
      <w:outlineLvl w:val="0"/>
    </w:pPr>
    <w:rPr>
      <w:rFonts w:cs="Century Gothic"/>
      <w:b/>
      <w:bCs/>
      <w:color w:val="17365D" w:themeColor="text2" w:themeShade="BF"/>
      <w:sz w:val="32"/>
      <w:szCs w:val="32"/>
    </w:rPr>
  </w:style>
  <w:style w:type="paragraph" w:styleId="Titolo2">
    <w:name w:val="heading 2"/>
    <w:basedOn w:val="Normale"/>
    <w:link w:val="Titolo2Carattere"/>
    <w:qFormat/>
    <w:rsid w:val="00535F48"/>
    <w:pPr>
      <w:keepNext/>
      <w:spacing w:before="240" w:after="60"/>
      <w:jc w:val="center"/>
      <w:outlineLvl w:val="1"/>
    </w:pPr>
    <w:rPr>
      <w:rFonts w:eastAsiaTheme="minorEastAsia" w:cs="Century Gothic"/>
      <w:b/>
      <w:bCs/>
      <w:iCs/>
      <w:color w:val="17365D" w:themeColor="text2" w:themeShade="BF"/>
      <w:kern w:val="36"/>
      <w:sz w:val="28"/>
      <w:szCs w:val="16"/>
    </w:rPr>
  </w:style>
  <w:style w:type="paragraph" w:styleId="Titolo3">
    <w:name w:val="heading 3"/>
    <w:basedOn w:val="Normale"/>
    <w:link w:val="Titolo3Carattere"/>
    <w:uiPriority w:val="9"/>
    <w:qFormat/>
    <w:rsid w:val="00535F48"/>
    <w:pPr>
      <w:keepNext/>
      <w:spacing w:before="240" w:after="60"/>
      <w:jc w:val="center"/>
      <w:outlineLvl w:val="2"/>
    </w:pPr>
    <w:rPr>
      <w:rFonts w:cs="Century Gothic"/>
      <w:b/>
      <w:bCs/>
      <w:color w:val="17365D" w:themeColor="text2" w:themeShade="BF"/>
    </w:rPr>
  </w:style>
  <w:style w:type="paragraph" w:styleId="Titolo4">
    <w:name w:val="heading 4"/>
    <w:basedOn w:val="Normale"/>
    <w:link w:val="Titolo4Carattere"/>
    <w:uiPriority w:val="9"/>
    <w:qFormat/>
    <w:rsid w:val="00535F48"/>
    <w:pPr>
      <w:keepNext/>
      <w:spacing w:before="240" w:after="60"/>
      <w:jc w:val="left"/>
      <w:outlineLvl w:val="3"/>
    </w:pPr>
    <w:rPr>
      <w:b/>
      <w:bCs/>
      <w:color w:val="17365D" w:themeColor="text2" w:themeShade="BF"/>
      <w:szCs w:val="28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/>
      <w:outlineLvl w:val="5"/>
    </w:pPr>
    <w:rPr>
      <w:rFonts w:ascii="Times New Roman" w:hAnsi="Times New Roman"/>
      <w:b/>
      <w:bCs/>
      <w:color w:val="17365D" w:themeColor="text2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424BEE"/>
    <w:rPr>
      <w:rFonts w:ascii="Century Gothic" w:eastAsia="SimSun" w:hAnsi="Century Gothic" w:hint="default"/>
      <w:i/>
      <w:color w:val="002776"/>
      <w:sz w:val="26"/>
      <w:szCs w:val="28"/>
      <w:u w:val="none"/>
    </w:rPr>
  </w:style>
  <w:style w:type="paragraph" w:styleId="NormaleWeb">
    <w:name w:val="Normal (Web)"/>
    <w:basedOn w:val="Normale"/>
    <w:uiPriority w:val="99"/>
    <w:unhideWhenUsed/>
    <w:rsid w:val="00424BEE"/>
    <w:pPr>
      <w:spacing w:before="100" w:beforeAutospacing="1" w:after="100" w:afterAutospacing="1"/>
    </w:pPr>
    <w:rPr>
      <w:rFonts w:eastAsia="Times New Roman" w:cs="Century Gothic"/>
      <w:bCs/>
      <w:iCs/>
      <w:color w:val="17365D" w:themeColor="text2" w:themeShade="BF"/>
      <w:kern w:val="3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535F48"/>
    <w:rPr>
      <w:rFonts w:cs="Century Gothic"/>
      <w:b/>
      <w:iCs w:val="0"/>
      <w:color w:val="17365D" w:themeColor="text2" w:themeShade="BF"/>
      <w:kern w:val="0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D0D71"/>
    <w:pPr>
      <w:spacing w:before="240" w:after="60"/>
      <w:jc w:val="center"/>
    </w:pPr>
    <w:rPr>
      <w:rFonts w:cs="Arial"/>
      <w:b/>
      <w:bCs/>
      <w:color w:val="17365D" w:themeColor="text2" w:themeShade="BF"/>
      <w:sz w:val="34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rsid w:val="001D0D71"/>
    <w:rPr>
      <w:rFonts w:cs="Arial"/>
      <w:b/>
      <w:iCs w:val="0"/>
      <w:color w:val="17365D" w:themeColor="text2" w:themeShade="BF"/>
      <w:kern w:val="0"/>
      <w:sz w:val="34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ind w:left="600" w:firstLine="567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 w:val="0"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9B4EA1"/>
    <w:pPr>
      <w:tabs>
        <w:tab w:val="left" w:pos="708"/>
      </w:tabs>
      <w:spacing w:before="100" w:beforeAutospacing="1" w:after="100"/>
      <w:ind w:left="170" w:right="-39"/>
    </w:pPr>
    <w:rPr>
      <w:rFonts w:cs="Century Gothic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9B4EA1"/>
    <w:rPr>
      <w:rFonts w:cs="Century Gothic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ind w:left="720"/>
    </w:p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 w:after="100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 w:after="100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/>
      <w:ind w:left="0" w:right="0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 w:after="100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 w:val="0"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 w:val="0"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535F48"/>
    <w:rPr>
      <w:rFonts w:eastAsiaTheme="minorEastAsia" w:cs="Century Gothic"/>
      <w:b/>
      <w:color w:val="17365D" w:themeColor="text2" w:themeShade="BF"/>
      <w:sz w:val="28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535F48"/>
    <w:rPr>
      <w:rFonts w:cs="Century Gothic"/>
      <w:b/>
      <w:iCs w:val="0"/>
      <w:color w:val="17365D" w:themeColor="text2" w:themeShade="BF"/>
      <w:kern w:val="0"/>
      <w:sz w:val="24"/>
      <w:szCs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535F48"/>
    <w:rPr>
      <w:b/>
      <w:iCs w:val="0"/>
      <w:color w:val="17365D" w:themeColor="text2" w:themeShade="BF"/>
      <w:kern w:val="0"/>
      <w:sz w:val="24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 w:val="0"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ind w:right="-2"/>
    </w:pPr>
    <w:rPr>
      <w:color w:val="17365D" w:themeColor="text2" w:themeShade="BF"/>
    </w:r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ind w:left="440"/>
    </w:pPr>
    <w:rPr>
      <w:rFonts w:ascii="Times New Roman" w:hAnsi="Times New Roman"/>
      <w:color w:val="17365D" w:themeColor="text2" w:themeShade="BF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rPr>
      <w:rFonts w:ascii="Times New Roman" w:hAnsi="Times New Roman"/>
      <w:color w:val="17365D" w:themeColor="text2" w:themeShade="BF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30235"/>
    <w:rPr>
      <w:rFonts w:ascii="Times New Roman" w:hAnsi="Times New Roman"/>
      <w:color w:val="17365D" w:themeColor="text2" w:themeShade="BF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30235"/>
    <w:rPr>
      <w:rFonts w:ascii="Times New Roman" w:hAnsi="Times New Roman"/>
      <w:color w:val="17365D" w:themeColor="text2" w:themeShade="BF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  <w:rPr>
      <w:color w:val="17365D" w:themeColor="text2" w:themeShade="BF"/>
    </w:rPr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ind w:left="480"/>
    </w:pPr>
    <w:rPr>
      <w:color w:val="FF0000"/>
      <w:sz w:val="18"/>
      <w:szCs w:val="18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rPr>
      <w:rFonts w:ascii="Calibri" w:hAnsi="Calibri"/>
      <w:color w:val="17365D" w:themeColor="text2" w:themeShade="BF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rPr>
      <w:rFonts w:ascii="Tahoma" w:hAnsi="Tahoma" w:cs="Tahoma"/>
      <w:color w:val="17365D" w:themeColor="text2" w:themeShade="BF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rPr>
      <w:rFonts w:ascii="Times New Roman" w:hAnsi="Times New Roman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essunaspaziatura">
    <w:name w:val="No Spacing"/>
    <w:basedOn w:val="Normale"/>
    <w:uiPriority w:val="1"/>
    <w:qFormat/>
    <w:rsid w:val="00130235"/>
    <w:pPr>
      <w:ind w:left="2160"/>
    </w:pPr>
    <w:rPr>
      <w:color w:val="0F243E"/>
    </w:rPr>
  </w:style>
  <w:style w:type="paragraph" w:styleId="Paragrafoelenco">
    <w:name w:val="List Paragraph"/>
    <w:basedOn w:val="Normale"/>
    <w:uiPriority w:val="34"/>
    <w:qFormat/>
    <w:rsid w:val="00130235"/>
    <w:pPr>
      <w:ind w:left="720"/>
    </w:pPr>
    <w:rPr>
      <w:color w:val="17365D" w:themeColor="text2" w:themeShade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 Gothic" w:eastAsiaTheme="minorHAnsi" w:hAnsi="Century Gothic" w:cs="Times New Roman"/>
        <w:bCs/>
        <w:iCs/>
        <w:kern w:val="36"/>
        <w:sz w:val="22"/>
        <w:szCs w:val="22"/>
        <w:lang w:val="it-IT" w:eastAsia="en-US" w:bidi="ar-SA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55CF2"/>
    <w:rPr>
      <w:bCs w:val="0"/>
      <w:iCs w:val="0"/>
      <w:color w:val="17365D"/>
      <w:kern w:val="0"/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535F48"/>
    <w:pPr>
      <w:keepNext/>
      <w:spacing w:before="240" w:after="60"/>
      <w:ind w:left="480" w:right="34"/>
      <w:jc w:val="center"/>
      <w:outlineLvl w:val="0"/>
    </w:pPr>
    <w:rPr>
      <w:rFonts w:cs="Century Gothic"/>
      <w:b/>
      <w:bCs/>
      <w:color w:val="17365D" w:themeColor="text2" w:themeShade="BF"/>
      <w:sz w:val="32"/>
      <w:szCs w:val="32"/>
    </w:rPr>
  </w:style>
  <w:style w:type="paragraph" w:styleId="Titolo2">
    <w:name w:val="heading 2"/>
    <w:basedOn w:val="Normale"/>
    <w:link w:val="Titolo2Carattere"/>
    <w:qFormat/>
    <w:rsid w:val="00535F48"/>
    <w:pPr>
      <w:keepNext/>
      <w:spacing w:before="240" w:after="60"/>
      <w:jc w:val="center"/>
      <w:outlineLvl w:val="1"/>
    </w:pPr>
    <w:rPr>
      <w:rFonts w:eastAsiaTheme="minorEastAsia" w:cs="Century Gothic"/>
      <w:b/>
      <w:bCs/>
      <w:iCs/>
      <w:color w:val="17365D" w:themeColor="text2" w:themeShade="BF"/>
      <w:kern w:val="36"/>
      <w:sz w:val="28"/>
      <w:szCs w:val="16"/>
    </w:rPr>
  </w:style>
  <w:style w:type="paragraph" w:styleId="Titolo3">
    <w:name w:val="heading 3"/>
    <w:basedOn w:val="Normale"/>
    <w:link w:val="Titolo3Carattere"/>
    <w:uiPriority w:val="9"/>
    <w:qFormat/>
    <w:rsid w:val="00535F48"/>
    <w:pPr>
      <w:keepNext/>
      <w:spacing w:before="240" w:after="60"/>
      <w:jc w:val="center"/>
      <w:outlineLvl w:val="2"/>
    </w:pPr>
    <w:rPr>
      <w:rFonts w:cs="Century Gothic"/>
      <w:b/>
      <w:bCs/>
      <w:color w:val="17365D" w:themeColor="text2" w:themeShade="BF"/>
    </w:rPr>
  </w:style>
  <w:style w:type="paragraph" w:styleId="Titolo4">
    <w:name w:val="heading 4"/>
    <w:basedOn w:val="Normale"/>
    <w:link w:val="Titolo4Carattere"/>
    <w:uiPriority w:val="9"/>
    <w:qFormat/>
    <w:rsid w:val="00535F48"/>
    <w:pPr>
      <w:keepNext/>
      <w:spacing w:before="240" w:after="60"/>
      <w:jc w:val="left"/>
      <w:outlineLvl w:val="3"/>
    </w:pPr>
    <w:rPr>
      <w:b/>
      <w:bCs/>
      <w:color w:val="17365D" w:themeColor="text2" w:themeShade="BF"/>
      <w:szCs w:val="28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/>
      <w:outlineLvl w:val="5"/>
    </w:pPr>
    <w:rPr>
      <w:rFonts w:ascii="Times New Roman" w:hAnsi="Times New Roman"/>
      <w:b/>
      <w:bCs/>
      <w:color w:val="17365D" w:themeColor="text2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424BEE"/>
    <w:rPr>
      <w:rFonts w:ascii="Century Gothic" w:eastAsia="SimSun" w:hAnsi="Century Gothic" w:hint="default"/>
      <w:i/>
      <w:color w:val="002776"/>
      <w:sz w:val="26"/>
      <w:szCs w:val="28"/>
      <w:u w:val="none"/>
    </w:rPr>
  </w:style>
  <w:style w:type="paragraph" w:styleId="NormaleWeb">
    <w:name w:val="Normal (Web)"/>
    <w:basedOn w:val="Normale"/>
    <w:uiPriority w:val="99"/>
    <w:unhideWhenUsed/>
    <w:rsid w:val="00424BEE"/>
    <w:pPr>
      <w:spacing w:before="100" w:beforeAutospacing="1" w:after="100" w:afterAutospacing="1"/>
    </w:pPr>
    <w:rPr>
      <w:rFonts w:eastAsia="Times New Roman" w:cs="Century Gothic"/>
      <w:bCs/>
      <w:iCs/>
      <w:color w:val="17365D" w:themeColor="text2" w:themeShade="BF"/>
      <w:kern w:val="3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535F48"/>
    <w:rPr>
      <w:rFonts w:cs="Century Gothic"/>
      <w:b/>
      <w:iCs w:val="0"/>
      <w:color w:val="17365D" w:themeColor="text2" w:themeShade="BF"/>
      <w:kern w:val="0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D0D71"/>
    <w:pPr>
      <w:spacing w:before="240" w:after="60"/>
      <w:jc w:val="center"/>
    </w:pPr>
    <w:rPr>
      <w:rFonts w:cs="Arial"/>
      <w:b/>
      <w:bCs/>
      <w:color w:val="17365D" w:themeColor="text2" w:themeShade="BF"/>
      <w:sz w:val="34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rsid w:val="001D0D71"/>
    <w:rPr>
      <w:rFonts w:cs="Arial"/>
      <w:b/>
      <w:iCs w:val="0"/>
      <w:color w:val="17365D" w:themeColor="text2" w:themeShade="BF"/>
      <w:kern w:val="0"/>
      <w:sz w:val="34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ind w:left="600" w:firstLine="567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 w:val="0"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9B4EA1"/>
    <w:pPr>
      <w:tabs>
        <w:tab w:val="left" w:pos="708"/>
      </w:tabs>
      <w:spacing w:before="100" w:beforeAutospacing="1" w:after="100"/>
      <w:ind w:left="170" w:right="-39"/>
    </w:pPr>
    <w:rPr>
      <w:rFonts w:cs="Century Gothic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9B4EA1"/>
    <w:rPr>
      <w:rFonts w:cs="Century Gothic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ind w:left="720"/>
    </w:p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 w:after="100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 w:after="100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/>
      <w:ind w:left="0" w:right="0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 w:after="100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 w:val="0"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 w:val="0"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535F48"/>
    <w:rPr>
      <w:rFonts w:eastAsiaTheme="minorEastAsia" w:cs="Century Gothic"/>
      <w:b/>
      <w:color w:val="17365D" w:themeColor="text2" w:themeShade="BF"/>
      <w:sz w:val="28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535F48"/>
    <w:rPr>
      <w:rFonts w:cs="Century Gothic"/>
      <w:b/>
      <w:iCs w:val="0"/>
      <w:color w:val="17365D" w:themeColor="text2" w:themeShade="BF"/>
      <w:kern w:val="0"/>
      <w:sz w:val="24"/>
      <w:szCs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535F48"/>
    <w:rPr>
      <w:b/>
      <w:iCs w:val="0"/>
      <w:color w:val="17365D" w:themeColor="text2" w:themeShade="BF"/>
      <w:kern w:val="0"/>
      <w:sz w:val="24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 w:val="0"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ind w:right="-2"/>
    </w:pPr>
    <w:rPr>
      <w:color w:val="17365D" w:themeColor="text2" w:themeShade="BF"/>
    </w:r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ind w:left="440"/>
    </w:pPr>
    <w:rPr>
      <w:rFonts w:ascii="Times New Roman" w:hAnsi="Times New Roman"/>
      <w:color w:val="17365D" w:themeColor="text2" w:themeShade="BF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rPr>
      <w:rFonts w:ascii="Times New Roman" w:hAnsi="Times New Roman"/>
      <w:color w:val="17365D" w:themeColor="text2" w:themeShade="BF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30235"/>
    <w:rPr>
      <w:rFonts w:ascii="Times New Roman" w:hAnsi="Times New Roman"/>
      <w:color w:val="17365D" w:themeColor="text2" w:themeShade="BF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30235"/>
    <w:rPr>
      <w:rFonts w:ascii="Times New Roman" w:hAnsi="Times New Roman"/>
      <w:color w:val="17365D" w:themeColor="text2" w:themeShade="BF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  <w:rPr>
      <w:color w:val="17365D" w:themeColor="text2" w:themeShade="BF"/>
    </w:rPr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ind w:left="480"/>
    </w:pPr>
    <w:rPr>
      <w:color w:val="FF0000"/>
      <w:sz w:val="18"/>
      <w:szCs w:val="18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rPr>
      <w:rFonts w:ascii="Calibri" w:hAnsi="Calibri"/>
      <w:color w:val="17365D" w:themeColor="text2" w:themeShade="BF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rPr>
      <w:rFonts w:ascii="Tahoma" w:hAnsi="Tahoma" w:cs="Tahoma"/>
      <w:color w:val="17365D" w:themeColor="text2" w:themeShade="BF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rPr>
      <w:rFonts w:ascii="Times New Roman" w:hAnsi="Times New Roman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essunaspaziatura">
    <w:name w:val="No Spacing"/>
    <w:basedOn w:val="Normale"/>
    <w:uiPriority w:val="1"/>
    <w:qFormat/>
    <w:rsid w:val="00130235"/>
    <w:pPr>
      <w:ind w:left="2160"/>
    </w:pPr>
    <w:rPr>
      <w:color w:val="0F243E"/>
    </w:rPr>
  </w:style>
  <w:style w:type="paragraph" w:styleId="Paragrafoelenco">
    <w:name w:val="List Paragraph"/>
    <w:basedOn w:val="Normale"/>
    <w:uiPriority w:val="34"/>
    <w:qFormat/>
    <w:rsid w:val="00130235"/>
    <w:pPr>
      <w:ind w:left="720"/>
    </w:pPr>
    <w:rPr>
      <w:color w:val="17365D" w:themeColor="text2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28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855</Words>
  <Characters>4877</Characters>
  <Application>Microsoft Office Word</Application>
  <DocSecurity>0</DocSecurity>
  <Lines>40</Lines>
  <Paragraphs>11</Paragraphs>
  <ScaleCrop>false</ScaleCrop>
  <Company/>
  <LinksUpToDate>false</LinksUpToDate>
  <CharactersWithSpaces>5721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Mauro Novelli</dc:creator>
  <cp:lastModifiedBy>Mauro Novelli</cp:lastModifiedBy>
  <cp:revision>1</cp:revision>
  <dcterms:created xsi:type="dcterms:W3CDTF">2014-11-08T10:11:00Z</dcterms:created>
  <dcterms:modified xsi:type="dcterms:W3CDTF">2014-11-08T10:17:00Z</dcterms:modified>
</cp:coreProperties>
</file>