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95B" w:rsidRDefault="00F4095B" w:rsidP="00F4095B">
      <w:pPr>
        <w:jc w:val="center"/>
        <w:rPr>
          <w:rFonts w:ascii="Arial" w:hAnsi="Arial" w:cs="Arial"/>
          <w:sz w:val="20"/>
          <w:szCs w:val="20"/>
          <w:lang w:eastAsia="it-IT"/>
        </w:rPr>
      </w:pPr>
      <w:r>
        <w:rPr>
          <w:rFonts w:ascii="Arial" w:hAnsi="Arial" w:cs="Arial"/>
          <w:sz w:val="20"/>
          <w:szCs w:val="20"/>
          <w:lang w:eastAsia="it-IT"/>
        </w:rPr>
        <w:t>COMUNICATO STAMPA</w:t>
      </w:r>
    </w:p>
    <w:p w:rsidR="00F4095B" w:rsidRDefault="00F4095B" w:rsidP="00F4095B">
      <w:pPr>
        <w:jc w:val="center"/>
        <w:rPr>
          <w:rFonts w:ascii="Arial" w:hAnsi="Arial" w:cs="Arial"/>
          <w:sz w:val="20"/>
          <w:szCs w:val="20"/>
          <w:lang w:eastAsia="it-IT"/>
        </w:rPr>
      </w:pPr>
    </w:p>
    <w:p w:rsidR="00F4095B" w:rsidRDefault="00F4095B" w:rsidP="00F4095B">
      <w:pPr>
        <w:jc w:val="both"/>
        <w:rPr>
          <w:rFonts w:ascii="Arial" w:hAnsi="Arial" w:cs="Arial"/>
          <w:sz w:val="20"/>
          <w:szCs w:val="20"/>
          <w:lang w:eastAsia="it-IT"/>
        </w:rPr>
      </w:pPr>
      <w:bookmarkStart w:id="0" w:name="_GoBack"/>
      <w:r>
        <w:rPr>
          <w:rFonts w:ascii="Arial" w:hAnsi="Arial" w:cs="Arial"/>
          <w:sz w:val="20"/>
          <w:szCs w:val="20"/>
          <w:lang w:eastAsia="it-IT"/>
        </w:rPr>
        <w:t>CRISI:INDICATORI ECONOMICI PEGGIORATI,DAL DEBITO (AUMENTATO),</w:t>
      </w:r>
      <w:bookmarkEnd w:id="0"/>
      <w:r>
        <w:rPr>
          <w:rFonts w:ascii="Arial" w:hAnsi="Arial" w:cs="Arial"/>
          <w:sz w:val="20"/>
          <w:szCs w:val="20"/>
          <w:lang w:eastAsia="it-IT"/>
        </w:rPr>
        <w:t>ALLA PRESSIONE FISCALE BISOGNA DIRE LA VERITA’ PER USCIRE DA CRISI,NON APPELLARE COME DISFATTISTI I REALISTI.</w:t>
      </w:r>
    </w:p>
    <w:p w:rsidR="00F4095B" w:rsidRDefault="00F4095B" w:rsidP="00F4095B">
      <w:pPr>
        <w:jc w:val="both"/>
        <w:rPr>
          <w:rFonts w:ascii="Century Gothic" w:hAnsi="Century Gothic"/>
          <w:lang w:eastAsia="it-IT"/>
        </w:rPr>
      </w:pPr>
    </w:p>
    <w:p w:rsidR="00F4095B" w:rsidRDefault="00F4095B" w:rsidP="00F4095B">
      <w:pPr>
        <w:jc w:val="both"/>
        <w:rPr>
          <w:rFonts w:ascii="Arial" w:hAnsi="Arial" w:cs="Arial"/>
          <w:sz w:val="20"/>
          <w:szCs w:val="20"/>
          <w:lang w:eastAsia="it-IT"/>
        </w:rPr>
      </w:pPr>
      <w:r>
        <w:rPr>
          <w:rFonts w:ascii="Arial" w:hAnsi="Arial" w:cs="Arial"/>
          <w:sz w:val="20"/>
          <w:szCs w:val="20"/>
          <w:lang w:eastAsia="it-IT"/>
        </w:rPr>
        <w:t>    Il governo, che non ha ancora scongiurato con i tagli alla spesa le salate clausole di salvaguardia sull’Iva pari ad oltre 50 miliardi di euro a regime, che appella come disfattisti quei pochi economisti ed associazioni, che con i numeri alla mano cercano di rappresentare la situazione economica di un paese reale, divorato da corruzione, illegalità ed evasione fiscale (al secondo posto dopo la Grecia), dopo aver promesso che avrebbe diminuito il debito pubblico, abbassato le tasse, combattuto l’evasione, promette una rivoluzione fiscale compresa l’abrogazione della Tasi e della fiscalità locale per tutti, senza distinzione tra chi può pagarla con i propri redditi, e coloro che si devono indebitare per onorare il tributo.</w:t>
      </w:r>
    </w:p>
    <w:p w:rsidR="00F4095B" w:rsidRDefault="00F4095B" w:rsidP="00F4095B">
      <w:pPr>
        <w:jc w:val="both"/>
        <w:rPr>
          <w:rFonts w:ascii="Arial" w:hAnsi="Arial" w:cs="Arial"/>
          <w:sz w:val="20"/>
          <w:szCs w:val="20"/>
          <w:lang w:eastAsia="it-IT"/>
        </w:rPr>
      </w:pPr>
      <w:r>
        <w:rPr>
          <w:rFonts w:ascii="Arial" w:hAnsi="Arial" w:cs="Arial"/>
          <w:sz w:val="20"/>
          <w:szCs w:val="20"/>
          <w:lang w:eastAsia="it-IT"/>
        </w:rPr>
        <w:t>   La pressione fiscale, al 43,4% (secondo l’Istat) è aumentata, come la disoccupazione al 12,4% (specie quella giovanile al 41%); mentre il debito pubblico – che sia il primo ministro che il titolare dell’Economia continuano a dichiarare in diminuzione, è aumentato ad un ritmo superiore ai precedenti governi.</w:t>
      </w:r>
    </w:p>
    <w:p w:rsidR="00F4095B" w:rsidRDefault="00F4095B" w:rsidP="00F4095B">
      <w:pPr>
        <w:spacing w:after="200" w:line="276" w:lineRule="auto"/>
        <w:jc w:val="both"/>
        <w:rPr>
          <w:rFonts w:ascii="Century Gothic" w:hAnsi="Century Gothic"/>
        </w:rPr>
      </w:pPr>
      <w:r>
        <w:rPr>
          <w:rFonts w:ascii="Century Gothic" w:hAnsi="Century Gothic"/>
        </w:rPr>
        <w:t xml:space="preserve">   Il </w:t>
      </w:r>
      <w:r>
        <w:rPr>
          <w:rFonts w:ascii="Arial" w:hAnsi="Arial" w:cs="Arial"/>
          <w:sz w:val="20"/>
          <w:szCs w:val="20"/>
          <w:lang w:eastAsia="it-IT"/>
        </w:rPr>
        <w:t xml:space="preserve">governo </w:t>
      </w:r>
      <w:proofErr w:type="spellStart"/>
      <w:r>
        <w:rPr>
          <w:rFonts w:ascii="Arial" w:hAnsi="Arial" w:cs="Arial"/>
          <w:sz w:val="20"/>
          <w:szCs w:val="20"/>
          <w:lang w:eastAsia="it-IT"/>
        </w:rPr>
        <w:t>Renzi</w:t>
      </w:r>
      <w:proofErr w:type="spellEnd"/>
      <w:r>
        <w:rPr>
          <w:rFonts w:ascii="Arial" w:hAnsi="Arial" w:cs="Arial"/>
          <w:sz w:val="20"/>
          <w:szCs w:val="20"/>
          <w:lang w:eastAsia="it-IT"/>
        </w:rPr>
        <w:t xml:space="preserve"> infatti, partito a fine febbraio 2014 con un debito di oltre 2.107 miliardi di euro, arriva a maggio 2015, quindicesimo mese di governo, con il debito salito a 2.218,234 miliardi, con un aumento di 111,077 miliardi al ritmo di 7,4 </w:t>
      </w:r>
      <w:proofErr w:type="spellStart"/>
      <w:r>
        <w:rPr>
          <w:rFonts w:ascii="Arial" w:hAnsi="Arial" w:cs="Arial"/>
          <w:sz w:val="20"/>
          <w:szCs w:val="20"/>
          <w:lang w:eastAsia="it-IT"/>
        </w:rPr>
        <w:t>mld</w:t>
      </w:r>
      <w:proofErr w:type="spellEnd"/>
      <w:r>
        <w:rPr>
          <w:rFonts w:ascii="Arial" w:hAnsi="Arial" w:cs="Arial"/>
          <w:sz w:val="20"/>
          <w:szCs w:val="20"/>
          <w:lang w:eastAsia="it-IT"/>
        </w:rPr>
        <w:t xml:space="preserve"> al mese. Con </w:t>
      </w:r>
      <w:proofErr w:type="spellStart"/>
      <w:r>
        <w:rPr>
          <w:rFonts w:ascii="Arial" w:hAnsi="Arial" w:cs="Arial"/>
          <w:sz w:val="20"/>
          <w:szCs w:val="20"/>
          <w:lang w:eastAsia="it-IT"/>
        </w:rPr>
        <w:t>Renzi</w:t>
      </w:r>
      <w:proofErr w:type="spellEnd"/>
      <w:r>
        <w:rPr>
          <w:rFonts w:ascii="Arial" w:hAnsi="Arial" w:cs="Arial"/>
          <w:sz w:val="20"/>
          <w:szCs w:val="20"/>
          <w:lang w:eastAsia="it-IT"/>
        </w:rPr>
        <w:t>, il debito pro capite a fine marzo è pari a 37,218 euro.  Il maggior debito pro-capite imputabile all’attuale governo è di 1.864 euro. Il Paese ha bisogno di verità non di una informazione paludata che riporta acriticamente le veline del governo che continua ad appellare come ‘Gufi’, o ‘Tribù dei musi lunghi’, tutti coloro che osano muovere critiche costruttive, per non svegliarsi, come potrebbe accadere, sull’orlo del baratro.</w:t>
      </w:r>
    </w:p>
    <w:tbl>
      <w:tblPr>
        <w:tblW w:w="0" w:type="auto"/>
        <w:jc w:val="center"/>
        <w:tblInd w:w="706" w:type="dxa"/>
        <w:tblCellMar>
          <w:left w:w="0" w:type="dxa"/>
          <w:right w:w="0" w:type="dxa"/>
        </w:tblCellMar>
        <w:tblLook w:val="04A0" w:firstRow="1" w:lastRow="0" w:firstColumn="1" w:lastColumn="0" w:noHBand="0" w:noVBand="1"/>
      </w:tblPr>
      <w:tblGrid>
        <w:gridCol w:w="2596"/>
        <w:gridCol w:w="1306"/>
        <w:gridCol w:w="2608"/>
        <w:gridCol w:w="1350"/>
        <w:gridCol w:w="1190"/>
      </w:tblGrid>
      <w:tr w:rsidR="00F4095B" w:rsidTr="00F4095B">
        <w:trPr>
          <w:jc w:val="center"/>
        </w:trPr>
        <w:tc>
          <w:tcPr>
            <w:tcW w:w="2596" w:type="dxa"/>
            <w:tcBorders>
              <w:top w:val="single" w:sz="8" w:space="0" w:color="auto"/>
              <w:left w:val="single" w:sz="8" w:space="0" w:color="auto"/>
              <w:bottom w:val="single" w:sz="8" w:space="0" w:color="auto"/>
              <w:right w:val="single" w:sz="8" w:space="0" w:color="auto"/>
            </w:tcBorders>
            <w:shd w:val="clear" w:color="auto" w:fill="B9EC86"/>
            <w:tcMar>
              <w:top w:w="0" w:type="dxa"/>
              <w:left w:w="108" w:type="dxa"/>
              <w:bottom w:w="0" w:type="dxa"/>
              <w:right w:w="108" w:type="dxa"/>
            </w:tcMar>
            <w:vAlign w:val="center"/>
          </w:tcPr>
          <w:p w:rsidR="00F4095B" w:rsidRDefault="00F4095B">
            <w:pPr>
              <w:jc w:val="center"/>
              <w:rPr>
                <w:rFonts w:ascii="Century Gothic" w:hAnsi="Century Gothic"/>
                <w:sz w:val="18"/>
                <w:szCs w:val="18"/>
              </w:rPr>
            </w:pPr>
          </w:p>
        </w:tc>
        <w:tc>
          <w:tcPr>
            <w:tcW w:w="13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center"/>
              <w:rPr>
                <w:rFonts w:ascii="Century Gothic" w:hAnsi="Century Gothic"/>
                <w:sz w:val="20"/>
                <w:szCs w:val="20"/>
              </w:rPr>
            </w:pPr>
            <w:r>
              <w:rPr>
                <w:rFonts w:ascii="Century Gothic" w:hAnsi="Century Gothic"/>
                <w:b/>
                <w:bCs/>
                <w:color w:val="000099"/>
                <w:sz w:val="20"/>
                <w:szCs w:val="20"/>
              </w:rPr>
              <w:t>DEBITO PUBBLICO</w:t>
            </w:r>
          </w:p>
          <w:p w:rsidR="00F4095B" w:rsidRDefault="00F4095B">
            <w:pPr>
              <w:ind w:right="202"/>
              <w:jc w:val="center"/>
              <w:rPr>
                <w:rFonts w:ascii="Century Gothic" w:hAnsi="Century Gothic"/>
                <w:sz w:val="20"/>
                <w:szCs w:val="20"/>
              </w:rPr>
            </w:pPr>
            <w:r>
              <w:rPr>
                <w:rFonts w:ascii="Century Gothic" w:hAnsi="Century Gothic"/>
                <w:b/>
                <w:bCs/>
                <w:color w:val="000099"/>
                <w:sz w:val="20"/>
                <w:szCs w:val="20"/>
              </w:rPr>
              <w:t>In miliardi di €</w:t>
            </w:r>
          </w:p>
        </w:tc>
        <w:tc>
          <w:tcPr>
            <w:tcW w:w="26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center"/>
              <w:rPr>
                <w:rFonts w:ascii="Century Gothic" w:hAnsi="Century Gothic"/>
                <w:sz w:val="20"/>
                <w:szCs w:val="20"/>
              </w:rPr>
            </w:pPr>
            <w:r>
              <w:rPr>
                <w:rFonts w:ascii="Century Gothic" w:hAnsi="Century Gothic"/>
                <w:b/>
                <w:bCs/>
                <w:color w:val="000099"/>
                <w:sz w:val="20"/>
                <w:szCs w:val="20"/>
              </w:rPr>
              <w:t>AUMENTO del DEBITO in miliardi imputabile al governo pro tempore</w:t>
            </w:r>
          </w:p>
          <w:p w:rsidR="00F4095B" w:rsidRDefault="00F4095B">
            <w:pPr>
              <w:jc w:val="center"/>
              <w:rPr>
                <w:rFonts w:ascii="Century Gothic" w:hAnsi="Century Gothic"/>
                <w:sz w:val="20"/>
                <w:szCs w:val="20"/>
              </w:rPr>
            </w:pPr>
            <w:r>
              <w:rPr>
                <w:rFonts w:ascii="Century Gothic" w:hAnsi="Century Gothic"/>
                <w:b/>
                <w:bCs/>
                <w:color w:val="000099"/>
                <w:sz w:val="20"/>
                <w:szCs w:val="20"/>
              </w:rPr>
              <w:t>(in parentesi l’aumento medio mensile)</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center"/>
              <w:rPr>
                <w:rFonts w:ascii="Century Gothic" w:hAnsi="Century Gothic"/>
                <w:sz w:val="20"/>
                <w:szCs w:val="20"/>
              </w:rPr>
            </w:pPr>
            <w:r>
              <w:rPr>
                <w:rFonts w:ascii="Century Gothic" w:hAnsi="Century Gothic"/>
                <w:b/>
                <w:bCs/>
                <w:color w:val="000099"/>
                <w:sz w:val="20"/>
                <w:szCs w:val="20"/>
              </w:rPr>
              <w:t>Debito pro capite a fine periodo in €</w:t>
            </w:r>
          </w:p>
        </w:tc>
        <w:tc>
          <w:tcPr>
            <w:tcW w:w="1190" w:type="dxa"/>
            <w:tcBorders>
              <w:top w:val="single" w:sz="8" w:space="0" w:color="auto"/>
              <w:left w:val="nil"/>
              <w:bottom w:val="single" w:sz="8" w:space="0" w:color="auto"/>
              <w:right w:val="single" w:sz="8" w:space="0" w:color="auto"/>
            </w:tcBorders>
            <w:vAlign w:val="center"/>
            <w:hideMark/>
          </w:tcPr>
          <w:p w:rsidR="00F4095B" w:rsidRDefault="00F4095B">
            <w:pPr>
              <w:jc w:val="center"/>
              <w:rPr>
                <w:rFonts w:ascii="Century Gothic" w:hAnsi="Century Gothic"/>
                <w:sz w:val="20"/>
                <w:szCs w:val="20"/>
              </w:rPr>
            </w:pPr>
            <w:r>
              <w:rPr>
                <w:rFonts w:ascii="Century Gothic" w:hAnsi="Century Gothic"/>
                <w:b/>
                <w:bCs/>
                <w:color w:val="000099"/>
                <w:sz w:val="20"/>
                <w:szCs w:val="20"/>
              </w:rPr>
              <w:t xml:space="preserve">Maggior debito </w:t>
            </w:r>
            <w:proofErr w:type="spellStart"/>
            <w:r>
              <w:rPr>
                <w:rFonts w:ascii="Century Gothic" w:hAnsi="Century Gothic"/>
                <w:b/>
                <w:bCs/>
                <w:color w:val="000099"/>
                <w:sz w:val="20"/>
                <w:szCs w:val="20"/>
              </w:rPr>
              <w:t>procapite</w:t>
            </w:r>
            <w:proofErr w:type="spellEnd"/>
            <w:r>
              <w:rPr>
                <w:rFonts w:ascii="Century Gothic" w:hAnsi="Century Gothic"/>
                <w:b/>
                <w:bCs/>
                <w:color w:val="000099"/>
                <w:sz w:val="20"/>
                <w:szCs w:val="20"/>
              </w:rPr>
              <w:t xml:space="preserve"> in €</w:t>
            </w:r>
          </w:p>
        </w:tc>
      </w:tr>
      <w:tr w:rsidR="00F4095B" w:rsidTr="00F4095B">
        <w:trPr>
          <w:jc w:val="center"/>
        </w:trPr>
        <w:tc>
          <w:tcPr>
            <w:tcW w:w="2596" w:type="dxa"/>
            <w:tcBorders>
              <w:top w:val="nil"/>
              <w:left w:val="single" w:sz="8" w:space="0" w:color="auto"/>
              <w:bottom w:val="single" w:sz="8" w:space="0" w:color="auto"/>
              <w:right w:val="single" w:sz="8" w:space="0" w:color="auto"/>
            </w:tcBorders>
            <w:shd w:val="clear" w:color="auto" w:fill="B9EC86"/>
            <w:tcMar>
              <w:top w:w="0" w:type="dxa"/>
              <w:left w:w="108" w:type="dxa"/>
              <w:bottom w:w="0" w:type="dxa"/>
              <w:right w:w="108" w:type="dxa"/>
            </w:tcMar>
            <w:vAlign w:val="center"/>
            <w:hideMark/>
          </w:tcPr>
          <w:p w:rsidR="00F4095B" w:rsidRDefault="00F4095B">
            <w:pPr>
              <w:jc w:val="both"/>
              <w:rPr>
                <w:rFonts w:ascii="Century Gothic" w:hAnsi="Century Gothic"/>
                <w:sz w:val="18"/>
                <w:szCs w:val="18"/>
              </w:rPr>
            </w:pPr>
            <w:r>
              <w:rPr>
                <w:rFonts w:ascii="Century Gothic" w:hAnsi="Century Gothic"/>
                <w:b/>
                <w:bCs/>
                <w:color w:val="000099"/>
                <w:sz w:val="18"/>
                <w:szCs w:val="18"/>
              </w:rPr>
              <w:t>GOVERNO RENZI (da fine febbraio 2014) (15 mesi)</w:t>
            </w:r>
          </w:p>
        </w:tc>
        <w:tc>
          <w:tcPr>
            <w:tcW w:w="13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sz w:val="24"/>
                <w:szCs w:val="24"/>
              </w:rPr>
            </w:pPr>
            <w:r>
              <w:rPr>
                <w:rFonts w:ascii="Century Gothic" w:hAnsi="Century Gothic"/>
                <w:color w:val="000099"/>
                <w:sz w:val="24"/>
                <w:szCs w:val="24"/>
              </w:rPr>
              <w:t> </w:t>
            </w:r>
          </w:p>
        </w:tc>
        <w:tc>
          <w:tcPr>
            <w:tcW w:w="26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ind w:right="202"/>
              <w:jc w:val="right"/>
              <w:rPr>
                <w:rFonts w:ascii="Century Gothic" w:hAnsi="Century Gothic"/>
                <w:sz w:val="24"/>
                <w:szCs w:val="24"/>
              </w:rPr>
            </w:pPr>
            <w:r>
              <w:rPr>
                <w:rFonts w:ascii="Century Gothic" w:hAnsi="Century Gothic"/>
                <w:color w:val="000099"/>
                <w:sz w:val="24"/>
                <w:szCs w:val="24"/>
              </w:rPr>
              <w:t> </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sz w:val="24"/>
                <w:szCs w:val="24"/>
              </w:rPr>
            </w:pPr>
            <w:r>
              <w:rPr>
                <w:rFonts w:ascii="Century Gothic" w:hAnsi="Century Gothic"/>
                <w:color w:val="000099"/>
                <w:sz w:val="24"/>
                <w:szCs w:val="24"/>
              </w:rPr>
              <w:t> </w:t>
            </w:r>
          </w:p>
        </w:tc>
        <w:tc>
          <w:tcPr>
            <w:tcW w:w="1190" w:type="dxa"/>
            <w:tcBorders>
              <w:top w:val="nil"/>
              <w:left w:val="nil"/>
              <w:bottom w:val="single" w:sz="8" w:space="0" w:color="auto"/>
              <w:right w:val="single" w:sz="8" w:space="0" w:color="auto"/>
            </w:tcBorders>
          </w:tcPr>
          <w:p w:rsidR="00F4095B" w:rsidRDefault="00F4095B">
            <w:pPr>
              <w:jc w:val="right"/>
              <w:rPr>
                <w:rFonts w:ascii="Century Gothic" w:hAnsi="Century Gothic"/>
                <w:color w:val="000099"/>
                <w:sz w:val="24"/>
                <w:szCs w:val="24"/>
              </w:rPr>
            </w:pPr>
          </w:p>
        </w:tc>
      </w:tr>
      <w:tr w:rsidR="00F4095B" w:rsidTr="00F4095B">
        <w:trPr>
          <w:jc w:val="center"/>
        </w:trPr>
        <w:tc>
          <w:tcPr>
            <w:tcW w:w="2596" w:type="dxa"/>
            <w:tcBorders>
              <w:top w:val="nil"/>
              <w:left w:val="single" w:sz="8" w:space="0" w:color="auto"/>
              <w:bottom w:val="single" w:sz="8" w:space="0" w:color="auto"/>
              <w:right w:val="single" w:sz="8" w:space="0" w:color="auto"/>
            </w:tcBorders>
            <w:shd w:val="clear" w:color="auto" w:fill="B9EC86"/>
            <w:tcMar>
              <w:top w:w="0" w:type="dxa"/>
              <w:left w:w="108" w:type="dxa"/>
              <w:bottom w:w="0" w:type="dxa"/>
              <w:right w:w="108" w:type="dxa"/>
            </w:tcMar>
            <w:vAlign w:val="center"/>
            <w:hideMark/>
          </w:tcPr>
          <w:p w:rsidR="00F4095B" w:rsidRDefault="00F4095B">
            <w:pPr>
              <w:jc w:val="both"/>
              <w:rPr>
                <w:rFonts w:ascii="Century Gothic" w:hAnsi="Century Gothic"/>
                <w:sz w:val="18"/>
                <w:szCs w:val="18"/>
              </w:rPr>
            </w:pPr>
            <w:r>
              <w:rPr>
                <w:rFonts w:ascii="Century Gothic" w:hAnsi="Century Gothic"/>
                <w:b/>
                <w:bCs/>
                <w:color w:val="000099"/>
                <w:sz w:val="18"/>
                <w:szCs w:val="18"/>
              </w:rPr>
              <w:t>Debito febbraio 2014</w:t>
            </w:r>
          </w:p>
        </w:tc>
        <w:tc>
          <w:tcPr>
            <w:tcW w:w="13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rPr>
            </w:pPr>
            <w:r>
              <w:rPr>
                <w:rFonts w:ascii="Century Gothic" w:hAnsi="Century Gothic"/>
                <w:color w:val="000099"/>
              </w:rPr>
              <w:t>2.107,157</w:t>
            </w:r>
          </w:p>
        </w:tc>
        <w:tc>
          <w:tcPr>
            <w:tcW w:w="26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ind w:right="202"/>
              <w:jc w:val="right"/>
              <w:rPr>
                <w:rFonts w:ascii="Century Gothic" w:hAnsi="Century Gothic"/>
              </w:rPr>
            </w:pPr>
            <w:r>
              <w:rPr>
                <w:rFonts w:ascii="Century Gothic" w:hAnsi="Century Gothic"/>
                <w:color w:val="000099"/>
              </w:rPr>
              <w:t> </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rPr>
            </w:pPr>
            <w:r>
              <w:rPr>
                <w:rFonts w:ascii="Century Gothic" w:hAnsi="Century Gothic"/>
                <w:color w:val="000099"/>
              </w:rPr>
              <w:t> </w:t>
            </w:r>
          </w:p>
        </w:tc>
        <w:tc>
          <w:tcPr>
            <w:tcW w:w="1190" w:type="dxa"/>
            <w:tcBorders>
              <w:top w:val="nil"/>
              <w:left w:val="nil"/>
              <w:bottom w:val="single" w:sz="8" w:space="0" w:color="auto"/>
              <w:right w:val="single" w:sz="8" w:space="0" w:color="auto"/>
            </w:tcBorders>
          </w:tcPr>
          <w:p w:rsidR="00F4095B" w:rsidRDefault="00F4095B">
            <w:pPr>
              <w:jc w:val="right"/>
              <w:rPr>
                <w:rFonts w:ascii="Century Gothic" w:hAnsi="Century Gothic"/>
                <w:color w:val="000099"/>
              </w:rPr>
            </w:pPr>
          </w:p>
        </w:tc>
      </w:tr>
      <w:tr w:rsidR="00F4095B" w:rsidTr="00F4095B">
        <w:trPr>
          <w:jc w:val="center"/>
        </w:trPr>
        <w:tc>
          <w:tcPr>
            <w:tcW w:w="2596" w:type="dxa"/>
            <w:tcBorders>
              <w:top w:val="nil"/>
              <w:left w:val="single" w:sz="8" w:space="0" w:color="auto"/>
              <w:bottom w:val="single" w:sz="8" w:space="0" w:color="auto"/>
              <w:right w:val="single" w:sz="8" w:space="0" w:color="auto"/>
            </w:tcBorders>
            <w:shd w:val="clear" w:color="auto" w:fill="B9EC86"/>
            <w:tcMar>
              <w:top w:w="0" w:type="dxa"/>
              <w:left w:w="108" w:type="dxa"/>
              <w:bottom w:w="0" w:type="dxa"/>
              <w:right w:w="108" w:type="dxa"/>
            </w:tcMar>
            <w:vAlign w:val="center"/>
            <w:hideMark/>
          </w:tcPr>
          <w:p w:rsidR="00F4095B" w:rsidRDefault="00F4095B">
            <w:pPr>
              <w:jc w:val="both"/>
              <w:rPr>
                <w:rFonts w:ascii="Century Gothic" w:hAnsi="Century Gothic"/>
                <w:sz w:val="18"/>
                <w:szCs w:val="18"/>
              </w:rPr>
            </w:pPr>
            <w:r>
              <w:rPr>
                <w:rFonts w:ascii="Century Gothic" w:hAnsi="Century Gothic"/>
                <w:b/>
                <w:bCs/>
                <w:color w:val="000099"/>
                <w:sz w:val="18"/>
                <w:szCs w:val="18"/>
              </w:rPr>
              <w:t xml:space="preserve">Debito maggio 2015 </w:t>
            </w:r>
          </w:p>
        </w:tc>
        <w:tc>
          <w:tcPr>
            <w:tcW w:w="13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rPr>
            </w:pPr>
            <w:r>
              <w:rPr>
                <w:rFonts w:ascii="Century Gothic" w:hAnsi="Century Gothic"/>
                <w:color w:val="000099"/>
              </w:rPr>
              <w:t>2.218,234</w:t>
            </w:r>
          </w:p>
        </w:tc>
        <w:tc>
          <w:tcPr>
            <w:tcW w:w="26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color w:val="000099"/>
              </w:rPr>
            </w:pPr>
            <w:r>
              <w:rPr>
                <w:rFonts w:ascii="Century Gothic" w:hAnsi="Century Gothic"/>
                <w:color w:val="000099"/>
              </w:rPr>
              <w:t xml:space="preserve">+ 111,077 </w:t>
            </w:r>
            <w:proofErr w:type="spellStart"/>
            <w:r>
              <w:rPr>
                <w:rFonts w:ascii="Century Gothic" w:hAnsi="Century Gothic"/>
                <w:color w:val="000099"/>
              </w:rPr>
              <w:t>mld</w:t>
            </w:r>
            <w:proofErr w:type="spellEnd"/>
            <w:r>
              <w:rPr>
                <w:rFonts w:ascii="Century Gothic" w:hAnsi="Century Gothic"/>
                <w:color w:val="000099"/>
              </w:rPr>
              <w:t>  </w:t>
            </w:r>
          </w:p>
          <w:p w:rsidR="00F4095B" w:rsidRDefault="00F4095B">
            <w:pPr>
              <w:jc w:val="right"/>
              <w:rPr>
                <w:rFonts w:ascii="Century Gothic" w:hAnsi="Century Gothic"/>
              </w:rPr>
            </w:pPr>
            <w:r>
              <w:rPr>
                <w:rFonts w:ascii="Century Gothic" w:hAnsi="Century Gothic"/>
                <w:b/>
                <w:bCs/>
                <w:color w:val="000099"/>
              </w:rPr>
              <w:t xml:space="preserve">(+ 7,405 </w:t>
            </w:r>
            <w:proofErr w:type="spellStart"/>
            <w:r>
              <w:rPr>
                <w:rFonts w:ascii="Century Gothic" w:hAnsi="Century Gothic"/>
                <w:b/>
                <w:bCs/>
                <w:color w:val="000099"/>
              </w:rPr>
              <w:t>mld</w:t>
            </w:r>
            <w:proofErr w:type="spellEnd"/>
            <w:r>
              <w:rPr>
                <w:rFonts w:ascii="Century Gothic" w:hAnsi="Century Gothic"/>
                <w:b/>
                <w:bCs/>
                <w:color w:val="000099"/>
              </w:rPr>
              <w:t>/mese)</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095B" w:rsidRDefault="00F4095B">
            <w:pPr>
              <w:jc w:val="right"/>
              <w:rPr>
                <w:rFonts w:ascii="Century Gothic" w:hAnsi="Century Gothic"/>
              </w:rPr>
            </w:pPr>
            <w:r>
              <w:rPr>
                <w:rFonts w:ascii="Century Gothic" w:hAnsi="Century Gothic"/>
                <w:color w:val="000099"/>
              </w:rPr>
              <w:t>37.218</w:t>
            </w:r>
          </w:p>
        </w:tc>
        <w:tc>
          <w:tcPr>
            <w:tcW w:w="1190" w:type="dxa"/>
            <w:tcBorders>
              <w:top w:val="nil"/>
              <w:left w:val="nil"/>
              <w:bottom w:val="single" w:sz="8" w:space="0" w:color="auto"/>
              <w:right w:val="single" w:sz="8" w:space="0" w:color="auto"/>
            </w:tcBorders>
            <w:hideMark/>
          </w:tcPr>
          <w:p w:rsidR="00F4095B" w:rsidRDefault="00F4095B">
            <w:pPr>
              <w:jc w:val="right"/>
              <w:rPr>
                <w:rFonts w:ascii="Century Gothic" w:hAnsi="Century Gothic"/>
                <w:color w:val="000099"/>
              </w:rPr>
            </w:pPr>
            <w:r>
              <w:rPr>
                <w:rFonts w:ascii="Century Gothic" w:hAnsi="Century Gothic"/>
                <w:color w:val="000099"/>
              </w:rPr>
              <w:t>1.864</w:t>
            </w:r>
          </w:p>
        </w:tc>
      </w:tr>
    </w:tbl>
    <w:p w:rsidR="00F4095B" w:rsidRDefault="00F4095B" w:rsidP="00F4095B">
      <w:pPr>
        <w:spacing w:after="200" w:line="276" w:lineRule="auto"/>
        <w:jc w:val="both"/>
        <w:rPr>
          <w:rFonts w:ascii="Book Antiqua" w:hAnsi="Book Antiqua"/>
          <w:i/>
          <w:iCs/>
        </w:rPr>
      </w:pPr>
      <w:r>
        <w:rPr>
          <w:rFonts w:ascii="Book Antiqua" w:hAnsi="Book Antiqua"/>
          <w:i/>
          <w:iCs/>
        </w:rPr>
        <w:t>Elaborazione dr. Mauro Novelli, segretario nazionale Adusbef, su dati ufficiali della Banca d’Italia</w:t>
      </w:r>
    </w:p>
    <w:p w:rsidR="00F4095B" w:rsidRDefault="00F4095B" w:rsidP="00F4095B">
      <w:pPr>
        <w:spacing w:after="200" w:line="360" w:lineRule="auto"/>
        <w:ind w:left="317" w:right="317"/>
        <w:jc w:val="both"/>
        <w:rPr>
          <w:rFonts w:ascii="Arial" w:hAnsi="Arial" w:cs="Arial"/>
          <w:sz w:val="20"/>
          <w:szCs w:val="20"/>
          <w:lang w:eastAsia="it-IT"/>
        </w:rPr>
      </w:pPr>
      <w:r>
        <w:rPr>
          <w:rFonts w:ascii="Arial" w:hAnsi="Arial" w:cs="Arial"/>
          <w:sz w:val="20"/>
          <w:szCs w:val="20"/>
          <w:lang w:eastAsia="it-IT"/>
        </w:rPr>
        <w:t>Il governo </w:t>
      </w:r>
      <w:proofErr w:type="spellStart"/>
      <w:r>
        <w:rPr>
          <w:rFonts w:ascii="Arial" w:hAnsi="Arial" w:cs="Arial"/>
          <w:sz w:val="20"/>
          <w:szCs w:val="20"/>
          <w:lang w:eastAsia="it-IT"/>
        </w:rPr>
        <w:t>Renzi</w:t>
      </w:r>
      <w:proofErr w:type="spellEnd"/>
      <w:r>
        <w:rPr>
          <w:rFonts w:ascii="Arial" w:hAnsi="Arial" w:cs="Arial"/>
          <w:sz w:val="20"/>
          <w:szCs w:val="20"/>
          <w:lang w:eastAsia="it-IT"/>
        </w:rPr>
        <w:t xml:space="preserve">, partito a fine febbraio 2014 con un debito di oltre 2.107 miliardi di euro, arriva a maggio 2015, quindicesimo mese di governo, con il debito salito a 2.218,234 miliardi, con un aumento di 111,077 miliardi al ritmo di 7,4 </w:t>
      </w:r>
      <w:proofErr w:type="spellStart"/>
      <w:r>
        <w:rPr>
          <w:rFonts w:ascii="Arial" w:hAnsi="Arial" w:cs="Arial"/>
          <w:sz w:val="20"/>
          <w:szCs w:val="20"/>
          <w:lang w:eastAsia="it-IT"/>
        </w:rPr>
        <w:t>mld</w:t>
      </w:r>
      <w:proofErr w:type="spellEnd"/>
      <w:r>
        <w:rPr>
          <w:rFonts w:ascii="Arial" w:hAnsi="Arial" w:cs="Arial"/>
          <w:sz w:val="20"/>
          <w:szCs w:val="20"/>
          <w:lang w:eastAsia="it-IT"/>
        </w:rPr>
        <w:t xml:space="preserve"> al mese. Con </w:t>
      </w:r>
      <w:proofErr w:type="spellStart"/>
      <w:r>
        <w:rPr>
          <w:rFonts w:ascii="Arial" w:hAnsi="Arial" w:cs="Arial"/>
          <w:sz w:val="20"/>
          <w:szCs w:val="20"/>
          <w:lang w:eastAsia="it-IT"/>
        </w:rPr>
        <w:t>Renzi</w:t>
      </w:r>
      <w:proofErr w:type="spellEnd"/>
      <w:r>
        <w:rPr>
          <w:rFonts w:ascii="Arial" w:hAnsi="Arial" w:cs="Arial"/>
          <w:sz w:val="20"/>
          <w:szCs w:val="20"/>
          <w:lang w:eastAsia="it-IT"/>
        </w:rPr>
        <w:t>, il debito pro capite a fine marzo è pari a 37,218 euro.  Il maggior debito pro-capite imputabile all’attuale governo è di 1.864 euro</w:t>
      </w:r>
    </w:p>
    <w:p w:rsidR="00F4095B" w:rsidRDefault="00F4095B" w:rsidP="00F4095B">
      <w:pPr>
        <w:spacing w:after="200" w:line="276" w:lineRule="auto"/>
        <w:jc w:val="both"/>
        <w:rPr>
          <w:rFonts w:ascii="Arial" w:hAnsi="Arial" w:cs="Arial"/>
          <w:sz w:val="20"/>
          <w:szCs w:val="20"/>
          <w:lang w:eastAsia="it-IT"/>
        </w:rPr>
      </w:pPr>
      <w:r>
        <w:rPr>
          <w:rFonts w:ascii="Arial" w:hAnsi="Arial" w:cs="Arial"/>
          <w:sz w:val="20"/>
          <w:szCs w:val="20"/>
          <w:lang w:eastAsia="it-IT"/>
        </w:rPr>
        <w:t>                                                                                                                                  Elio Lannutti (Adusbef)</w:t>
      </w:r>
    </w:p>
    <w:p w:rsidR="00F4095B" w:rsidRDefault="00F4095B" w:rsidP="00F4095B">
      <w:pPr>
        <w:spacing w:after="200" w:line="276" w:lineRule="auto"/>
        <w:jc w:val="both"/>
        <w:rPr>
          <w:rFonts w:ascii="Arial" w:hAnsi="Arial" w:cs="Arial"/>
          <w:sz w:val="20"/>
          <w:szCs w:val="20"/>
          <w:lang w:eastAsia="it-IT"/>
        </w:rPr>
      </w:pPr>
      <w:r>
        <w:rPr>
          <w:rFonts w:ascii="Arial" w:hAnsi="Arial" w:cs="Arial"/>
          <w:sz w:val="20"/>
          <w:szCs w:val="20"/>
          <w:lang w:eastAsia="it-IT"/>
        </w:rPr>
        <w:t>Roma, 20.7.2015</w:t>
      </w:r>
    </w:p>
    <w:p w:rsidR="009B5E7D" w:rsidRPr="00F4095B" w:rsidRDefault="00F4095B" w:rsidP="00F4095B"/>
    <w:sectPr w:rsidR="009B5E7D" w:rsidRPr="00F409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95B"/>
    <w:rsid w:val="000541E9"/>
    <w:rsid w:val="00076B7B"/>
    <w:rsid w:val="000F61A8"/>
    <w:rsid w:val="002757D2"/>
    <w:rsid w:val="00A15AC7"/>
    <w:rsid w:val="00AA2807"/>
    <w:rsid w:val="00D60A67"/>
    <w:rsid w:val="00F157D7"/>
    <w:rsid w:val="00F409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4095B"/>
    <w:pPr>
      <w:spacing w:after="0" w:line="240"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4095B"/>
    <w:pPr>
      <w:spacing w:after="0" w:line="240"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66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2546</Characters>
  <Application>Microsoft Office Word</Application>
  <DocSecurity>0</DocSecurity>
  <Lines>21</Lines>
  <Paragraphs>5</Paragraphs>
  <ScaleCrop>false</ScaleCrop>
  <Company/>
  <LinksUpToDate>false</LinksUpToDate>
  <CharactersWithSpaces>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1</cp:revision>
  <dcterms:created xsi:type="dcterms:W3CDTF">2015-07-20T11:34:00Z</dcterms:created>
  <dcterms:modified xsi:type="dcterms:W3CDTF">2015-07-20T11:35:00Z</dcterms:modified>
</cp:coreProperties>
</file>