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FAF" w:rsidRDefault="00464FAF" w:rsidP="00464FAF">
      <w:pPr>
        <w:jc w:val="center"/>
        <w:rPr>
          <w:lang w:eastAsia="it-IT"/>
        </w:rPr>
      </w:pPr>
      <w:bookmarkStart w:id="0" w:name="_Toc424391282"/>
      <w:r>
        <w:rPr>
          <w:lang w:eastAsia="it-IT"/>
        </w:rPr>
        <w:t>COMUNICATO STAMPA</w:t>
      </w:r>
      <w:bookmarkEnd w:id="0"/>
    </w:p>
    <w:p w:rsidR="00464FAF" w:rsidRDefault="00464FAF" w:rsidP="00464FAF">
      <w:pPr>
        <w:jc w:val="center"/>
        <w:rPr>
          <w:lang w:eastAsia="it-IT"/>
        </w:rPr>
      </w:pPr>
    </w:p>
    <w:p w:rsidR="00464FAF" w:rsidRDefault="00464FAF" w:rsidP="00464FAF">
      <w:pPr>
        <w:jc w:val="center"/>
        <w:rPr>
          <w:lang w:eastAsia="it-IT"/>
        </w:rPr>
      </w:pPr>
      <w:r>
        <w:rPr>
          <w:lang w:eastAsia="it-IT"/>
        </w:rPr>
        <w:t>EUROZONA: SQUILIBRI FISCALI E REDDITUALI,HANNO LOGORATO BENESSERE SOCIALE DI ALCUNI PAESI, AVVANTAGGIANDO ALTRI. ITALIANI (DOPO GRECI), TRA I PIU’ PENALIZZATI NELLA CAPACITA’ DI SPESA (ULTIMO RAPPORTO EUROSTAT ELABORATO DA ADUSBEF). COSTI BENZINA TRA I PIU’ CARI D’EUROPA. PERSI IN 11 ANNI 296 MLD DI EURO,1.100 EURO L’ANNO A FAMIGLIA.</w:t>
      </w:r>
    </w:p>
    <w:p w:rsidR="00464FAF" w:rsidRDefault="00464FAF" w:rsidP="00464FAF">
      <w:pPr>
        <w:jc w:val="both"/>
        <w:rPr>
          <w:lang w:eastAsia="it-IT"/>
        </w:rPr>
      </w:pPr>
    </w:p>
    <w:p w:rsidR="00464FAF" w:rsidRDefault="00464FAF" w:rsidP="00464FAF">
      <w:pPr>
        <w:jc w:val="both"/>
      </w:pPr>
      <w:r>
        <w:t xml:space="preserve">    Per  raggiungere l’obiettivo statistico di comparare il “benessere” tra cittadini di diversi paesi, oltre al </w:t>
      </w:r>
      <w:proofErr w:type="spellStart"/>
      <w:r>
        <w:t>Pil</w:t>
      </w:r>
      <w:proofErr w:type="spellEnd"/>
      <w:r>
        <w:t xml:space="preserve">  pro capite, cioè alla ricchezza complessiva prodotta in un paese divisa per il numero dei cittadini, </w:t>
      </w:r>
      <w:proofErr w:type="spellStart"/>
      <w:r>
        <w:t>Eurostat</w:t>
      </w:r>
      <w:proofErr w:type="spellEnd"/>
      <w:r>
        <w:t xml:space="preserve"> traduce il PIL pro capite (GDP) in Capacità di spesa (PPS) parametrando la variabile che informa sulla ricchezza prodotta in un paese con i prezzi di un paniere di beni e servizi. L’indicatore è già più funzionale del semplice PIL pro capite, ma ancora non particolarmente indicativo del benessere dei cittadini. Ipotizziamo infatti che  il PIL pro capite di un paese sia doppio rispetto a quello di un secondo paese. Se anche il livello dei prezzi del primo è doppio rispetto all’altro, la capacità di spesa risulterà uguale per le due nazioni.  </w:t>
      </w:r>
      <w:proofErr w:type="spellStart"/>
      <w:r>
        <w:t>Eurostat</w:t>
      </w:r>
      <w:proofErr w:type="spellEnd"/>
      <w:r>
        <w:t xml:space="preserve"> procede a definire il secondo parametro, pesando il Consumo pro capite (AIC)  rispetto ai prezzi di un paniere di prodotti e servizi, traducendo in Capacità di spesa (PPS) pro capite i consumi finali (non solo delle famiglie) di un paese.</w:t>
      </w:r>
    </w:p>
    <w:p w:rsidR="00464FAF" w:rsidRDefault="00464FAF" w:rsidP="00464FAF">
      <w:pPr>
        <w:keepNext/>
        <w:spacing w:before="240" w:after="60"/>
      </w:pPr>
      <w:r>
        <w:t xml:space="preserve">PIL TRADOTTO IN CAPACITA’ DI SPESA </w:t>
      </w:r>
    </w:p>
    <w:p w:rsidR="00464FAF" w:rsidRDefault="00464FAF" w:rsidP="00464FAF">
      <w:pPr>
        <w:jc w:val="both"/>
        <w:rPr>
          <w:color w:val="000000"/>
          <w:lang w:eastAsia="it-IT"/>
        </w:rPr>
      </w:pPr>
      <w:r>
        <w:t>La tabella che segue compara la Capacità di</w:t>
      </w:r>
      <w:r>
        <w:rPr>
          <w:lang w:eastAsia="it-IT"/>
        </w:rPr>
        <w:t xml:space="preserve"> spesa dei 5 maggiori paesi più importanti dal 2003 al 2014. Ad essi abbiamo aggiunto il Lussemburgo, le cui caratteristiche di (ex) paradiso fiscale si ripercuotono gagliardamente sulla capacità di spesa dei cittadini, e la Grecia per l’attuale criticità della sua posizione.</w:t>
      </w:r>
    </w:p>
    <w:p w:rsidR="00464FAF" w:rsidRDefault="00464FAF" w:rsidP="00464FAF">
      <w:pPr>
        <w:jc w:val="both"/>
        <w:rPr>
          <w:color w:val="000000"/>
          <w:lang w:eastAsia="it-IT"/>
        </w:rPr>
      </w:pPr>
      <w:r>
        <w:rPr>
          <w:lang w:eastAsia="it-IT"/>
        </w:rPr>
        <w:t>Dei 7 paesi UE considerati, l’Italia è quella che  –  </w:t>
      </w:r>
      <w:hyperlink r:id="rId5" w:anchor="_Pil_dei_paesi" w:history="1">
        <w:r>
          <w:rPr>
            <w:rStyle w:val="Collegamentoipertestuale"/>
            <w:rFonts w:eastAsiaTheme="minorHAnsi"/>
            <w:color w:val="auto"/>
            <w:lang w:eastAsia="it-IT"/>
          </w:rPr>
          <w:t>in 11 anni, dal 2003 al 2014</w:t>
        </w:r>
      </w:hyperlink>
      <w:r>
        <w:rPr>
          <w:lang w:eastAsia="it-IT"/>
        </w:rPr>
        <w:t> -  ha visto diminuire maggiormente la sua Capacità di spesa (- 13,4 %) dopo la Grecia (- 22,6%), seguita dalla Gran Bretagna (-12,2), dalla Francia (- 6,9%) e dalla Spagna (-7,0 %). Continua invece a crescere la Germania (+6,9 %). Complessivamente scende anche la Zona euro (19) (-1,8 %).</w:t>
      </w:r>
    </w:p>
    <w:p w:rsidR="00464FAF" w:rsidRDefault="00464FAF" w:rsidP="00464FAF">
      <w:pPr>
        <w:jc w:val="both"/>
        <w:rPr>
          <w:rFonts w:ascii="Century Gothic" w:hAnsi="Century Gothic"/>
          <w:color w:val="000000"/>
          <w:sz w:val="16"/>
          <w:szCs w:val="16"/>
          <w:lang w:eastAsia="it-IT"/>
        </w:rPr>
      </w:pPr>
      <w:r>
        <w:rPr>
          <w:lang w:eastAsia="it-IT"/>
        </w:rPr>
        <w:t xml:space="preserve">In altri termini, fatta pari a 100 la ns. capacità di spesa, abbiamo la Spagna a 95,9, la UE(28) a 103,1, la Francia a 110,3 (come la Zona Euro19), la Gran Bretagna a 111,3, la Germania a 127,8, il Lussemburgo a 271,1. La capacità di spesa di un Tedesco, quindi, risulta del 27,8 % superiore a quella di un Italiano; di un Francese superiore del 10 %, mentre quella di uno Spagnolo è più bassa del 4,1 % rispetto alla  nostra.   </w:t>
      </w:r>
      <w:r>
        <w:rPr>
          <w:rFonts w:ascii="Century Gothic" w:hAnsi="Century Gothic"/>
          <w:color w:val="000000"/>
          <w:sz w:val="16"/>
          <w:szCs w:val="16"/>
          <w:lang w:eastAsia="it-IT"/>
        </w:rPr>
        <w:t> </w:t>
      </w:r>
    </w:p>
    <w:p w:rsidR="00464FAF" w:rsidRDefault="00464FAF" w:rsidP="00464FAF">
      <w:pPr>
        <w:spacing w:line="253" w:lineRule="atLeast"/>
        <w:jc w:val="center"/>
        <w:rPr>
          <w:rFonts w:ascii="Century Gothic" w:hAnsi="Century Gothic"/>
          <w:b/>
          <w:bCs/>
          <w:color w:val="000000"/>
          <w:sz w:val="16"/>
          <w:szCs w:val="16"/>
          <w:lang w:eastAsia="it-IT"/>
        </w:rPr>
      </w:pPr>
    </w:p>
    <w:p w:rsidR="00464FAF" w:rsidRDefault="00464FAF" w:rsidP="00464FAF">
      <w:pPr>
        <w:spacing w:line="253" w:lineRule="atLeast"/>
        <w:jc w:val="center"/>
        <w:rPr>
          <w:rFonts w:ascii="Century Gothic" w:hAnsi="Century Gothic"/>
          <w:b/>
          <w:bCs/>
          <w:color w:val="000000"/>
          <w:sz w:val="16"/>
          <w:szCs w:val="16"/>
          <w:lang w:eastAsia="it-IT"/>
        </w:rPr>
      </w:pPr>
    </w:p>
    <w:p w:rsidR="00464FAF" w:rsidRDefault="00464FAF" w:rsidP="00464FAF">
      <w:pPr>
        <w:spacing w:line="253" w:lineRule="atLeast"/>
        <w:jc w:val="center"/>
        <w:rPr>
          <w:rFonts w:ascii="Century Gothic" w:hAnsi="Century Gothic"/>
          <w:color w:val="000000"/>
          <w:sz w:val="16"/>
          <w:szCs w:val="16"/>
          <w:lang w:eastAsia="it-IT"/>
        </w:rPr>
      </w:pPr>
      <w:bookmarkStart w:id="1" w:name="_GoBack"/>
      <w:bookmarkEnd w:id="1"/>
      <w:r>
        <w:rPr>
          <w:rFonts w:ascii="Century Gothic" w:hAnsi="Century Gothic"/>
          <w:b/>
          <w:bCs/>
          <w:color w:val="000000"/>
          <w:sz w:val="16"/>
          <w:szCs w:val="16"/>
          <w:lang w:eastAsia="it-IT"/>
        </w:rPr>
        <w:t>Anno 2014 PIL di alcuni paesi UE ed extra UE</w:t>
      </w:r>
    </w:p>
    <w:p w:rsidR="00464FAF" w:rsidRDefault="00464FAF" w:rsidP="00464FAF">
      <w:pPr>
        <w:spacing w:line="253" w:lineRule="atLeast"/>
        <w:jc w:val="center"/>
        <w:rPr>
          <w:rFonts w:ascii="Century Gothic" w:hAnsi="Century Gothic"/>
          <w:color w:val="000000"/>
          <w:sz w:val="16"/>
          <w:szCs w:val="16"/>
          <w:lang w:eastAsia="it-IT"/>
        </w:rPr>
      </w:pPr>
      <w:r>
        <w:rPr>
          <w:rFonts w:ascii="Century Gothic" w:hAnsi="Century Gothic"/>
          <w:b/>
          <w:bCs/>
          <w:color w:val="000000"/>
          <w:sz w:val="16"/>
          <w:szCs w:val="16"/>
          <w:lang w:eastAsia="it-IT"/>
        </w:rPr>
        <w:t>tradotto in Capacità di spesa (PPS)</w:t>
      </w:r>
    </w:p>
    <w:p w:rsidR="00464FAF" w:rsidRDefault="00464FAF" w:rsidP="00464FAF">
      <w:pPr>
        <w:jc w:val="center"/>
        <w:rPr>
          <w:rFonts w:ascii="Century Gothic" w:hAnsi="Century Gothic"/>
          <w:color w:val="000000"/>
          <w:sz w:val="16"/>
          <w:szCs w:val="16"/>
          <w:lang w:eastAsia="it-IT"/>
        </w:rPr>
      </w:pPr>
      <w:r>
        <w:rPr>
          <w:rFonts w:ascii="Century Gothic" w:hAnsi="Century Gothic"/>
          <w:b/>
          <w:bCs/>
          <w:color w:val="000000"/>
          <w:sz w:val="16"/>
          <w:szCs w:val="16"/>
          <w:lang w:eastAsia="it-IT"/>
        </w:rPr>
        <w:t> Dati </w:t>
      </w:r>
      <w:proofErr w:type="spellStart"/>
      <w:r>
        <w:rPr>
          <w:rFonts w:ascii="Century Gothic" w:hAnsi="Century Gothic"/>
          <w:b/>
          <w:bCs/>
          <w:color w:val="000000"/>
          <w:sz w:val="16"/>
          <w:szCs w:val="16"/>
          <w:lang w:eastAsia="it-IT"/>
        </w:rPr>
        <w:t>Eurostat</w:t>
      </w:r>
      <w:proofErr w:type="spellEnd"/>
      <w:r>
        <w:rPr>
          <w:rFonts w:ascii="Century Gothic" w:hAnsi="Century Gothic"/>
          <w:b/>
          <w:bCs/>
          <w:color w:val="000000"/>
          <w:sz w:val="16"/>
          <w:szCs w:val="16"/>
          <w:lang w:eastAsia="it-IT"/>
        </w:rPr>
        <w:t> pubblicati il 1-6-2015. </w:t>
      </w:r>
      <w:hyperlink r:id="rId6" w:history="1">
        <w:r>
          <w:rPr>
            <w:rStyle w:val="Collegamentoipertestuale"/>
            <w:rFonts w:eastAsiaTheme="minorHAnsi"/>
            <w:b/>
            <w:bCs/>
            <w:color w:val="auto"/>
            <w:sz w:val="16"/>
            <w:szCs w:val="16"/>
            <w:lang w:eastAsia="it-IT"/>
          </w:rPr>
          <w:t>Elaborazioni M. Novelli</w:t>
        </w:r>
      </w:hyperlink>
      <w:r>
        <w:rPr>
          <w:rFonts w:ascii="Century Gothic" w:hAnsi="Century Gothic"/>
          <w:b/>
          <w:bCs/>
          <w:color w:val="000000"/>
          <w:sz w:val="16"/>
          <w:szCs w:val="16"/>
          <w:lang w:eastAsia="it-IT"/>
        </w:rPr>
        <w:t xml:space="preserve"> per Adusbef</w:t>
      </w:r>
    </w:p>
    <w:tbl>
      <w:tblPr>
        <w:tblW w:w="0" w:type="auto"/>
        <w:jc w:val="center"/>
        <w:tblCellMar>
          <w:left w:w="0" w:type="dxa"/>
          <w:right w:w="0" w:type="dxa"/>
        </w:tblCellMar>
        <w:tblLook w:val="04A0" w:firstRow="1" w:lastRow="0" w:firstColumn="1" w:lastColumn="0" w:noHBand="0" w:noVBand="1"/>
      </w:tblPr>
      <w:tblGrid>
        <w:gridCol w:w="1951"/>
        <w:gridCol w:w="1134"/>
        <w:gridCol w:w="992"/>
        <w:gridCol w:w="993"/>
        <w:gridCol w:w="1452"/>
        <w:gridCol w:w="1460"/>
        <w:gridCol w:w="230"/>
        <w:gridCol w:w="1642"/>
      </w:tblGrid>
      <w:tr w:rsidR="00464FAF" w:rsidTr="00464FAF">
        <w:trPr>
          <w:jc w:val="center"/>
        </w:trPr>
        <w:tc>
          <w:tcPr>
            <w:tcW w:w="1951" w:type="dxa"/>
            <w:vMerge w:val="restart"/>
            <w:tcBorders>
              <w:top w:val="single" w:sz="8" w:space="0" w:color="000000"/>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rPr>
                <w:rFonts w:ascii="Century Gothic" w:hAnsi="Century Gothic"/>
                <w:sz w:val="16"/>
                <w:szCs w:val="16"/>
                <w:lang w:eastAsia="it-IT"/>
              </w:rPr>
            </w:pPr>
            <w:r>
              <w:rPr>
                <w:rFonts w:ascii="Century Gothic" w:hAnsi="Century Gothic"/>
                <w:color w:val="000000"/>
                <w:sz w:val="16"/>
                <w:szCs w:val="16"/>
                <w:lang w:eastAsia="it-IT"/>
              </w:rPr>
              <w:t> </w:t>
            </w:r>
            <w:r>
              <w:rPr>
                <w:rFonts w:ascii="Century Gothic" w:hAnsi="Century Gothic"/>
                <w:b/>
                <w:bCs/>
                <w:color w:val="FFFFFF"/>
                <w:sz w:val="16"/>
                <w:szCs w:val="16"/>
                <w:lang w:eastAsia="it-IT"/>
              </w:rPr>
              <w:t> </w:t>
            </w:r>
          </w:p>
        </w:tc>
        <w:tc>
          <w:tcPr>
            <w:tcW w:w="6031" w:type="dxa"/>
            <w:gridSpan w:val="5"/>
            <w:tcBorders>
              <w:top w:val="single" w:sz="8" w:space="0" w:color="000000"/>
              <w:left w:val="nil"/>
              <w:bottom w:val="single" w:sz="8" w:space="0" w:color="000000"/>
              <w:right w:val="single" w:sz="8" w:space="0" w:color="000000"/>
            </w:tcBorders>
            <w:shd w:val="clear" w:color="auto" w:fill="76923C"/>
            <w:tcMar>
              <w:top w:w="0" w:type="dxa"/>
              <w:left w:w="108" w:type="dxa"/>
              <w:bottom w:w="0" w:type="dxa"/>
              <w:right w:w="108" w:type="dxa"/>
            </w:tcMar>
            <w:vAlign w:val="center"/>
          </w:tcPr>
          <w:p w:rsidR="00464FAF" w:rsidRDefault="00464FAF">
            <w:pPr>
              <w:ind w:right="-568"/>
              <w:jc w:val="center"/>
              <w:rPr>
                <w:rFonts w:ascii="Century Gothic" w:hAnsi="Century Gothic"/>
                <w:b/>
                <w:bCs/>
                <w:color w:val="FFFFFF"/>
                <w:sz w:val="16"/>
                <w:szCs w:val="16"/>
                <w:lang w:eastAsia="it-IT"/>
              </w:rPr>
            </w:pPr>
          </w:p>
          <w:p w:rsidR="00464FAF" w:rsidRDefault="00464FAF">
            <w:pPr>
              <w:ind w:right="-568"/>
              <w:jc w:val="center"/>
              <w:rPr>
                <w:rFonts w:ascii="Century Gothic" w:hAnsi="Century Gothic"/>
                <w:b/>
                <w:bCs/>
                <w:color w:val="FFFFFF"/>
                <w:sz w:val="16"/>
                <w:szCs w:val="16"/>
                <w:lang w:eastAsia="it-IT"/>
              </w:rPr>
            </w:pPr>
            <w:r>
              <w:rPr>
                <w:rFonts w:ascii="Century Gothic" w:hAnsi="Century Gothic"/>
                <w:b/>
                <w:bCs/>
                <w:color w:val="FFFFFF"/>
                <w:sz w:val="16"/>
                <w:szCs w:val="16"/>
                <w:lang w:eastAsia="it-IT"/>
              </w:rPr>
              <w:t>UE (28) = 100</w:t>
            </w:r>
          </w:p>
        </w:tc>
        <w:tc>
          <w:tcPr>
            <w:tcW w:w="230"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right="-568"/>
              <w:jc w:val="center"/>
              <w:rPr>
                <w:rFonts w:ascii="Century Gothic" w:hAnsi="Century Gothic"/>
                <w:sz w:val="16"/>
                <w:szCs w:val="16"/>
                <w:lang w:eastAsia="it-IT"/>
              </w:rPr>
            </w:pPr>
            <w:r>
              <w:rPr>
                <w:rFonts w:ascii="Century Gothic" w:hAnsi="Century Gothic"/>
                <w:b/>
                <w:bCs/>
                <w:color w:val="FFFFFF"/>
                <w:sz w:val="16"/>
                <w:szCs w:val="16"/>
                <w:lang w:eastAsia="it-IT"/>
              </w:rPr>
              <w:t> </w:t>
            </w:r>
          </w:p>
        </w:tc>
        <w:tc>
          <w:tcPr>
            <w:tcW w:w="1642" w:type="dxa"/>
            <w:tcBorders>
              <w:top w:val="single" w:sz="8" w:space="0" w:color="000000"/>
              <w:left w:val="nil"/>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568"/>
              <w:jc w:val="center"/>
              <w:rPr>
                <w:rFonts w:ascii="Century Gothic" w:hAnsi="Century Gothic"/>
                <w:sz w:val="16"/>
                <w:szCs w:val="16"/>
                <w:lang w:eastAsia="it-IT"/>
              </w:rPr>
            </w:pPr>
            <w:r>
              <w:rPr>
                <w:rFonts w:ascii="Century Gothic" w:hAnsi="Century Gothic"/>
                <w:b/>
                <w:bCs/>
                <w:color w:val="FFFFFF"/>
                <w:sz w:val="16"/>
                <w:szCs w:val="16"/>
                <w:lang w:eastAsia="it-IT"/>
              </w:rPr>
              <w:t>ITALIA = 100</w:t>
            </w:r>
          </w:p>
        </w:tc>
      </w:tr>
      <w:tr w:rsidR="00464FAF" w:rsidTr="00464FAF">
        <w:trPr>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464FAF" w:rsidRDefault="00464FAF">
            <w:pPr>
              <w:rPr>
                <w:rFonts w:ascii="Century Gothic" w:hAnsi="Century Gothic"/>
                <w:sz w:val="16"/>
                <w:szCs w:val="16"/>
                <w:lang w:eastAsia="it-IT"/>
              </w:rPr>
            </w:pPr>
          </w:p>
        </w:tc>
        <w:tc>
          <w:tcPr>
            <w:tcW w:w="1134" w:type="dxa"/>
            <w:tcBorders>
              <w:top w:val="nil"/>
              <w:left w:val="nil"/>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 2003 </w:t>
            </w:r>
          </w:p>
        </w:tc>
        <w:tc>
          <w:tcPr>
            <w:tcW w:w="992" w:type="dxa"/>
            <w:tcBorders>
              <w:top w:val="nil"/>
              <w:left w:val="nil"/>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 2013 </w:t>
            </w:r>
          </w:p>
        </w:tc>
        <w:tc>
          <w:tcPr>
            <w:tcW w:w="993" w:type="dxa"/>
            <w:tcBorders>
              <w:top w:val="nil"/>
              <w:left w:val="nil"/>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2014</w:t>
            </w:r>
          </w:p>
        </w:tc>
        <w:tc>
          <w:tcPr>
            <w:tcW w:w="1452" w:type="dxa"/>
            <w:tcBorders>
              <w:top w:val="nil"/>
              <w:left w:val="nil"/>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left="-135" w:right="-57"/>
              <w:jc w:val="center"/>
              <w:rPr>
                <w:rFonts w:ascii="Century Gothic" w:hAnsi="Century Gothic"/>
                <w:sz w:val="16"/>
                <w:szCs w:val="16"/>
                <w:lang w:eastAsia="it-IT"/>
              </w:rPr>
            </w:pPr>
            <w:proofErr w:type="spellStart"/>
            <w:r>
              <w:rPr>
                <w:rFonts w:ascii="Century Gothic" w:hAnsi="Century Gothic"/>
                <w:b/>
                <w:bCs/>
                <w:color w:val="FFFFFF"/>
                <w:sz w:val="16"/>
                <w:szCs w:val="16"/>
                <w:lang w:eastAsia="it-IT"/>
              </w:rPr>
              <w:t>Variaz</w:t>
            </w:r>
            <w:proofErr w:type="spellEnd"/>
            <w:r>
              <w:rPr>
                <w:rFonts w:ascii="Century Gothic" w:hAnsi="Century Gothic"/>
                <w:b/>
                <w:bCs/>
                <w:color w:val="FFFFFF"/>
                <w:sz w:val="16"/>
                <w:szCs w:val="16"/>
                <w:lang w:eastAsia="it-IT"/>
              </w:rPr>
              <w:t>.</w:t>
            </w:r>
          </w:p>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10 anni</w:t>
            </w:r>
          </w:p>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2014/2003</w:t>
            </w:r>
          </w:p>
        </w:tc>
        <w:tc>
          <w:tcPr>
            <w:tcW w:w="1460" w:type="dxa"/>
            <w:tcBorders>
              <w:top w:val="nil"/>
              <w:left w:val="nil"/>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left="-135" w:right="-57"/>
              <w:jc w:val="center"/>
              <w:rPr>
                <w:rFonts w:ascii="Century Gothic" w:hAnsi="Century Gothic"/>
                <w:sz w:val="16"/>
                <w:szCs w:val="16"/>
                <w:lang w:eastAsia="it-IT"/>
              </w:rPr>
            </w:pPr>
            <w:proofErr w:type="spellStart"/>
            <w:r>
              <w:rPr>
                <w:rFonts w:ascii="Century Gothic" w:hAnsi="Century Gothic"/>
                <w:b/>
                <w:bCs/>
                <w:color w:val="FFFFFF"/>
                <w:sz w:val="16"/>
                <w:szCs w:val="16"/>
                <w:lang w:eastAsia="it-IT"/>
              </w:rPr>
              <w:t>Variaz</w:t>
            </w:r>
            <w:proofErr w:type="spellEnd"/>
            <w:r>
              <w:rPr>
                <w:rFonts w:ascii="Century Gothic" w:hAnsi="Century Gothic"/>
                <w:b/>
                <w:bCs/>
                <w:color w:val="FFFFFF"/>
                <w:sz w:val="16"/>
                <w:szCs w:val="16"/>
                <w:lang w:eastAsia="it-IT"/>
              </w:rPr>
              <w:t>.</w:t>
            </w:r>
          </w:p>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1 anno</w:t>
            </w:r>
          </w:p>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2014/2013</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 </w:t>
            </w:r>
          </w:p>
        </w:tc>
        <w:tc>
          <w:tcPr>
            <w:tcW w:w="1642" w:type="dxa"/>
            <w:tcBorders>
              <w:top w:val="nil"/>
              <w:left w:val="nil"/>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 </w:t>
            </w:r>
          </w:p>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2014</w:t>
            </w:r>
          </w:p>
          <w:p w:rsidR="00464FAF" w:rsidRDefault="00464FAF">
            <w:pPr>
              <w:ind w:left="-135" w:right="-57"/>
              <w:jc w:val="center"/>
              <w:rPr>
                <w:rFonts w:ascii="Century Gothic" w:hAnsi="Century Gothic"/>
                <w:sz w:val="16"/>
                <w:szCs w:val="16"/>
                <w:lang w:eastAsia="it-IT"/>
              </w:rPr>
            </w:pPr>
            <w:r>
              <w:rPr>
                <w:rFonts w:ascii="Century Gothic" w:hAnsi="Century Gothic"/>
                <w:b/>
                <w:bCs/>
                <w:color w:val="FFFFFF"/>
                <w:sz w:val="16"/>
                <w:szCs w:val="16"/>
                <w:lang w:eastAsia="it-IT"/>
              </w:rPr>
              <w:t> </w:t>
            </w:r>
          </w:p>
        </w:tc>
      </w:tr>
      <w:tr w:rsidR="00464FAF" w:rsidTr="00464FAF">
        <w:trPr>
          <w:jc w:val="center"/>
        </w:trPr>
        <w:tc>
          <w:tcPr>
            <w:tcW w:w="1951" w:type="dxa"/>
            <w:tcBorders>
              <w:top w:val="nil"/>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rPr>
                <w:rFonts w:ascii="Century Gothic" w:hAnsi="Century Gothic"/>
                <w:sz w:val="16"/>
                <w:szCs w:val="16"/>
                <w:lang w:eastAsia="it-IT"/>
              </w:rPr>
            </w:pPr>
            <w:r>
              <w:rPr>
                <w:rFonts w:ascii="Century Gothic" w:hAnsi="Century Gothic"/>
                <w:b/>
                <w:bCs/>
                <w:color w:val="FFFFFF"/>
                <w:sz w:val="16"/>
                <w:szCs w:val="16"/>
                <w:lang w:eastAsia="it-IT"/>
              </w:rPr>
              <w:t>Lussemburgo</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240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258</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263</w:t>
            </w:r>
          </w:p>
        </w:tc>
        <w:tc>
          <w:tcPr>
            <w:tcW w:w="14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+ 9,6 %</w:t>
            </w:r>
          </w:p>
        </w:tc>
        <w:tc>
          <w:tcPr>
            <w:tcW w:w="146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+1,9 %</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w:t>
            </w:r>
          </w:p>
        </w:tc>
        <w:tc>
          <w:tcPr>
            <w:tcW w:w="164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271,1</w:t>
            </w:r>
          </w:p>
        </w:tc>
      </w:tr>
      <w:tr w:rsidR="00464FAF" w:rsidTr="00464FAF">
        <w:trPr>
          <w:jc w:val="center"/>
        </w:trPr>
        <w:tc>
          <w:tcPr>
            <w:tcW w:w="1951" w:type="dxa"/>
            <w:tcBorders>
              <w:top w:val="nil"/>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rPr>
                <w:rFonts w:ascii="Century Gothic" w:hAnsi="Century Gothic"/>
                <w:sz w:val="16"/>
                <w:szCs w:val="16"/>
                <w:lang w:eastAsia="it-IT"/>
              </w:rPr>
            </w:pPr>
            <w:r>
              <w:rPr>
                <w:rFonts w:ascii="Century Gothic" w:hAnsi="Century Gothic"/>
                <w:b/>
                <w:bCs/>
                <w:color w:val="FFFFFF"/>
                <w:sz w:val="16"/>
                <w:szCs w:val="16"/>
                <w:lang w:eastAsia="it-IT"/>
              </w:rPr>
              <w:t>Germania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116</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122</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124</w:t>
            </w:r>
          </w:p>
        </w:tc>
        <w:tc>
          <w:tcPr>
            <w:tcW w:w="14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+ 6,9 %</w:t>
            </w:r>
          </w:p>
        </w:tc>
        <w:tc>
          <w:tcPr>
            <w:tcW w:w="146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+1,6 %</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w:t>
            </w:r>
          </w:p>
        </w:tc>
        <w:tc>
          <w:tcPr>
            <w:tcW w:w="164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127,8</w:t>
            </w:r>
          </w:p>
        </w:tc>
      </w:tr>
      <w:tr w:rsidR="00464FAF" w:rsidTr="00464FAF">
        <w:trPr>
          <w:jc w:val="center"/>
        </w:trPr>
        <w:tc>
          <w:tcPr>
            <w:tcW w:w="1951" w:type="dxa"/>
            <w:tcBorders>
              <w:top w:val="nil"/>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rPr>
                <w:rFonts w:ascii="Century Gothic" w:hAnsi="Century Gothic"/>
                <w:sz w:val="16"/>
                <w:szCs w:val="16"/>
                <w:lang w:eastAsia="it-IT"/>
              </w:rPr>
            </w:pPr>
            <w:r>
              <w:rPr>
                <w:rFonts w:ascii="Century Gothic" w:hAnsi="Century Gothic"/>
                <w:b/>
                <w:bCs/>
                <w:color w:val="FFFFFF"/>
                <w:sz w:val="16"/>
                <w:szCs w:val="16"/>
                <w:lang w:eastAsia="it-IT"/>
              </w:rPr>
              <w:t>Gran Bretagna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123</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109</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108</w:t>
            </w:r>
          </w:p>
        </w:tc>
        <w:tc>
          <w:tcPr>
            <w:tcW w:w="14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- 12,2 %</w:t>
            </w:r>
          </w:p>
        </w:tc>
        <w:tc>
          <w:tcPr>
            <w:tcW w:w="146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- 0,9 %</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w:t>
            </w:r>
          </w:p>
        </w:tc>
        <w:tc>
          <w:tcPr>
            <w:tcW w:w="164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111,3</w:t>
            </w:r>
          </w:p>
        </w:tc>
      </w:tr>
      <w:tr w:rsidR="00464FAF" w:rsidTr="00464FAF">
        <w:trPr>
          <w:jc w:val="center"/>
        </w:trPr>
        <w:tc>
          <w:tcPr>
            <w:tcW w:w="1951" w:type="dxa"/>
            <w:tcBorders>
              <w:top w:val="nil"/>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rPr>
                <w:rFonts w:ascii="Century Gothic" w:hAnsi="Century Gothic"/>
                <w:sz w:val="16"/>
                <w:szCs w:val="16"/>
                <w:lang w:eastAsia="it-IT"/>
              </w:rPr>
            </w:pPr>
            <w:r>
              <w:rPr>
                <w:rFonts w:ascii="Century Gothic" w:hAnsi="Century Gothic"/>
                <w:b/>
                <w:bCs/>
                <w:color w:val="FFFFFF"/>
                <w:sz w:val="16"/>
                <w:szCs w:val="16"/>
                <w:lang w:eastAsia="it-IT"/>
              </w:rPr>
              <w:t>Francia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111</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107</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107</w:t>
            </w:r>
          </w:p>
        </w:tc>
        <w:tc>
          <w:tcPr>
            <w:tcW w:w="14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- 3,6 %</w:t>
            </w:r>
          </w:p>
        </w:tc>
        <w:tc>
          <w:tcPr>
            <w:tcW w:w="146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0,0</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w:t>
            </w:r>
          </w:p>
        </w:tc>
        <w:tc>
          <w:tcPr>
            <w:tcW w:w="164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110,3</w:t>
            </w:r>
          </w:p>
        </w:tc>
      </w:tr>
      <w:tr w:rsidR="00464FAF" w:rsidTr="00464FAF">
        <w:trPr>
          <w:jc w:val="center"/>
        </w:trPr>
        <w:tc>
          <w:tcPr>
            <w:tcW w:w="1951" w:type="dxa"/>
            <w:tcBorders>
              <w:top w:val="nil"/>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jc w:val="right"/>
              <w:rPr>
                <w:rFonts w:ascii="Century Gothic" w:hAnsi="Century Gothic"/>
                <w:sz w:val="16"/>
                <w:szCs w:val="16"/>
                <w:lang w:eastAsia="it-IT"/>
              </w:rPr>
            </w:pPr>
            <w:r>
              <w:rPr>
                <w:rFonts w:ascii="Century Gothic" w:hAnsi="Century Gothic"/>
                <w:b/>
                <w:bCs/>
                <w:color w:val="FFFFFF"/>
                <w:sz w:val="16"/>
                <w:szCs w:val="16"/>
                <w:lang w:eastAsia="it-IT"/>
              </w:rPr>
              <w:t>Zona € (19)</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109</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107</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107</w:t>
            </w:r>
          </w:p>
        </w:tc>
        <w:tc>
          <w:tcPr>
            <w:tcW w:w="14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- 1,8 %</w:t>
            </w:r>
          </w:p>
        </w:tc>
        <w:tc>
          <w:tcPr>
            <w:tcW w:w="146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0,0</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w:t>
            </w:r>
          </w:p>
        </w:tc>
        <w:tc>
          <w:tcPr>
            <w:tcW w:w="164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110,3</w:t>
            </w:r>
          </w:p>
        </w:tc>
      </w:tr>
      <w:tr w:rsidR="00464FAF" w:rsidTr="00464FAF">
        <w:trPr>
          <w:jc w:val="center"/>
        </w:trPr>
        <w:tc>
          <w:tcPr>
            <w:tcW w:w="1951" w:type="dxa"/>
            <w:tcBorders>
              <w:top w:val="nil"/>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jc w:val="right"/>
              <w:rPr>
                <w:rFonts w:ascii="Century Gothic" w:hAnsi="Century Gothic"/>
                <w:sz w:val="16"/>
                <w:szCs w:val="16"/>
                <w:lang w:eastAsia="it-IT"/>
              </w:rPr>
            </w:pPr>
            <w:r>
              <w:rPr>
                <w:rFonts w:ascii="Century Gothic" w:hAnsi="Century Gothic"/>
                <w:b/>
                <w:bCs/>
                <w:color w:val="FFFFFF"/>
                <w:sz w:val="16"/>
                <w:szCs w:val="16"/>
                <w:lang w:eastAsia="it-IT"/>
              </w:rPr>
              <w:t>UE (28)</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100</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100</w:t>
            </w:r>
          </w:p>
        </w:tc>
        <w:tc>
          <w:tcPr>
            <w:tcW w:w="14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0,0</w:t>
            </w:r>
          </w:p>
        </w:tc>
        <w:tc>
          <w:tcPr>
            <w:tcW w:w="146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0,0</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w:t>
            </w:r>
          </w:p>
        </w:tc>
        <w:tc>
          <w:tcPr>
            <w:tcW w:w="164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103,1</w:t>
            </w:r>
          </w:p>
        </w:tc>
      </w:tr>
      <w:tr w:rsidR="00464FAF" w:rsidTr="00464FAF">
        <w:trPr>
          <w:jc w:val="center"/>
        </w:trPr>
        <w:tc>
          <w:tcPr>
            <w:tcW w:w="1951" w:type="dxa"/>
            <w:tcBorders>
              <w:top w:val="nil"/>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rPr>
                <w:rFonts w:ascii="Century Gothic" w:hAnsi="Century Gothic"/>
                <w:sz w:val="16"/>
                <w:szCs w:val="16"/>
                <w:lang w:eastAsia="it-IT"/>
              </w:rPr>
            </w:pPr>
            <w:r>
              <w:rPr>
                <w:rFonts w:ascii="Century Gothic" w:hAnsi="Century Gothic"/>
                <w:b/>
                <w:bCs/>
                <w:color w:val="FFFFFF"/>
                <w:sz w:val="16"/>
                <w:szCs w:val="16"/>
                <w:lang w:eastAsia="it-IT"/>
              </w:rPr>
              <w:t>Italia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color w:val="C00000"/>
                <w:sz w:val="16"/>
                <w:szCs w:val="16"/>
                <w:lang w:eastAsia="it-IT"/>
              </w:rPr>
              <w:t>112</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color w:val="C00000"/>
                <w:sz w:val="16"/>
                <w:szCs w:val="16"/>
                <w:lang w:eastAsia="it-IT"/>
              </w:rPr>
              <w:t>99</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color w:val="C00000"/>
                <w:sz w:val="16"/>
                <w:szCs w:val="16"/>
                <w:lang w:eastAsia="it-IT"/>
              </w:rPr>
              <w:t>97</w:t>
            </w:r>
          </w:p>
        </w:tc>
        <w:tc>
          <w:tcPr>
            <w:tcW w:w="14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color w:val="C00000"/>
                <w:sz w:val="16"/>
                <w:szCs w:val="16"/>
                <w:lang w:eastAsia="it-IT"/>
              </w:rPr>
              <w:t>- 13,4 %</w:t>
            </w:r>
          </w:p>
        </w:tc>
        <w:tc>
          <w:tcPr>
            <w:tcW w:w="146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color w:val="C00000"/>
                <w:sz w:val="16"/>
                <w:szCs w:val="16"/>
                <w:lang w:eastAsia="it-IT"/>
              </w:rPr>
              <w:t>-2,0 %</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right"/>
              <w:rPr>
                <w:rFonts w:ascii="Century Gothic" w:hAnsi="Century Gothic"/>
                <w:sz w:val="16"/>
                <w:szCs w:val="16"/>
                <w:lang w:eastAsia="it-IT"/>
              </w:rPr>
            </w:pPr>
            <w:r>
              <w:rPr>
                <w:rFonts w:ascii="Century Gothic" w:hAnsi="Century Gothic"/>
                <w:b/>
                <w:bCs/>
                <w:color w:val="C00000"/>
                <w:sz w:val="16"/>
                <w:szCs w:val="16"/>
                <w:lang w:eastAsia="it-IT"/>
              </w:rPr>
              <w:t> </w:t>
            </w:r>
          </w:p>
        </w:tc>
        <w:tc>
          <w:tcPr>
            <w:tcW w:w="164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color w:val="C00000"/>
                <w:sz w:val="16"/>
                <w:szCs w:val="16"/>
                <w:lang w:eastAsia="it-IT"/>
              </w:rPr>
              <w:t>100</w:t>
            </w:r>
          </w:p>
        </w:tc>
      </w:tr>
      <w:tr w:rsidR="00464FAF" w:rsidTr="00464FAF">
        <w:trPr>
          <w:jc w:val="center"/>
        </w:trPr>
        <w:tc>
          <w:tcPr>
            <w:tcW w:w="1951" w:type="dxa"/>
            <w:tcBorders>
              <w:top w:val="nil"/>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rPr>
                <w:rFonts w:ascii="Century Gothic" w:hAnsi="Century Gothic"/>
                <w:sz w:val="16"/>
                <w:szCs w:val="16"/>
                <w:lang w:eastAsia="it-IT"/>
              </w:rPr>
            </w:pPr>
            <w:r>
              <w:rPr>
                <w:rFonts w:ascii="Century Gothic" w:hAnsi="Century Gothic"/>
                <w:b/>
                <w:bCs/>
                <w:color w:val="FFFFFF"/>
                <w:sz w:val="16"/>
                <w:szCs w:val="16"/>
                <w:lang w:eastAsia="it-IT"/>
              </w:rPr>
              <w:t>Spagna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100</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94</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93</w:t>
            </w:r>
          </w:p>
        </w:tc>
        <w:tc>
          <w:tcPr>
            <w:tcW w:w="14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- 7,0 %</w:t>
            </w:r>
          </w:p>
        </w:tc>
        <w:tc>
          <w:tcPr>
            <w:tcW w:w="146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-1,1 %</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w:t>
            </w:r>
          </w:p>
        </w:tc>
        <w:tc>
          <w:tcPr>
            <w:tcW w:w="164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95,9</w:t>
            </w:r>
          </w:p>
        </w:tc>
      </w:tr>
      <w:tr w:rsidR="00464FAF" w:rsidTr="00464FAF">
        <w:trPr>
          <w:jc w:val="center"/>
        </w:trPr>
        <w:tc>
          <w:tcPr>
            <w:tcW w:w="1951" w:type="dxa"/>
            <w:tcBorders>
              <w:top w:val="nil"/>
              <w:left w:val="single" w:sz="8" w:space="0" w:color="000000"/>
              <w:bottom w:val="single" w:sz="8" w:space="0" w:color="000000"/>
              <w:right w:val="single" w:sz="8" w:space="0" w:color="000000"/>
            </w:tcBorders>
            <w:shd w:val="clear" w:color="auto" w:fill="76923C"/>
            <w:tcMar>
              <w:top w:w="0" w:type="dxa"/>
              <w:left w:w="108" w:type="dxa"/>
              <w:bottom w:w="0" w:type="dxa"/>
              <w:right w:w="108" w:type="dxa"/>
            </w:tcMar>
            <w:vAlign w:val="center"/>
            <w:hideMark/>
          </w:tcPr>
          <w:p w:rsidR="00464FAF" w:rsidRDefault="00464FAF">
            <w:pPr>
              <w:ind w:right="493"/>
              <w:rPr>
                <w:rFonts w:ascii="Century Gothic" w:hAnsi="Century Gothic"/>
                <w:sz w:val="16"/>
                <w:szCs w:val="16"/>
                <w:lang w:eastAsia="it-IT"/>
              </w:rPr>
            </w:pPr>
            <w:r>
              <w:rPr>
                <w:rFonts w:ascii="Century Gothic" w:hAnsi="Century Gothic"/>
                <w:b/>
                <w:bCs/>
                <w:color w:val="FFFFFF"/>
                <w:sz w:val="16"/>
                <w:szCs w:val="16"/>
                <w:lang w:eastAsia="it-IT"/>
              </w:rPr>
              <w:t>Grecia</w:t>
            </w:r>
          </w:p>
        </w:tc>
        <w:tc>
          <w:tcPr>
            <w:tcW w:w="113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93</w:t>
            </w:r>
          </w:p>
        </w:tc>
        <w:tc>
          <w:tcPr>
            <w:tcW w:w="99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73</w:t>
            </w:r>
          </w:p>
        </w:tc>
        <w:tc>
          <w:tcPr>
            <w:tcW w:w="993"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72</w:t>
            </w:r>
          </w:p>
        </w:tc>
        <w:tc>
          <w:tcPr>
            <w:tcW w:w="145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hanging="360"/>
              <w:jc w:val="right"/>
              <w:rPr>
                <w:rFonts w:ascii="Century Gothic" w:hAnsi="Century Gothic"/>
                <w:sz w:val="16"/>
                <w:szCs w:val="16"/>
                <w:lang w:eastAsia="it-IT"/>
              </w:rPr>
            </w:pPr>
            <w:r>
              <w:rPr>
                <w:rFonts w:ascii="Century Gothic" w:hAnsi="Century Gothic"/>
                <w:sz w:val="16"/>
                <w:szCs w:val="16"/>
                <w:lang w:eastAsia="it-IT"/>
              </w:rPr>
              <w:t>-</w:t>
            </w:r>
            <w:r>
              <w:rPr>
                <w:rFonts w:ascii="Times New Roman" w:hAnsi="Times New Roman"/>
                <w:sz w:val="16"/>
                <w:szCs w:val="16"/>
                <w:lang w:eastAsia="it-IT"/>
              </w:rPr>
              <w:t>          </w:t>
            </w:r>
            <w:r>
              <w:rPr>
                <w:rFonts w:ascii="Century Gothic" w:hAnsi="Century Gothic"/>
                <w:sz w:val="16"/>
                <w:szCs w:val="16"/>
                <w:lang w:eastAsia="it-IT"/>
              </w:rPr>
              <w:t>22,6 %</w:t>
            </w:r>
          </w:p>
        </w:tc>
        <w:tc>
          <w:tcPr>
            <w:tcW w:w="146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-1,4 %</w:t>
            </w:r>
          </w:p>
        </w:tc>
        <w:tc>
          <w:tcPr>
            <w:tcW w:w="230" w:type="dxa"/>
            <w:tcBorders>
              <w:top w:val="nil"/>
              <w:left w:val="nil"/>
              <w:bottom w:val="single" w:sz="8" w:space="0" w:color="000000"/>
              <w:right w:val="single" w:sz="8" w:space="0" w:color="000000"/>
            </w:tcBorders>
            <w:shd w:val="clear" w:color="auto" w:fill="BFBFBF"/>
            <w:tcMar>
              <w:top w:w="0" w:type="dxa"/>
              <w:left w:w="108" w:type="dxa"/>
              <w:bottom w:w="0" w:type="dxa"/>
              <w:right w:w="108" w:type="dxa"/>
            </w:tcMar>
            <w:hideMark/>
          </w:tcPr>
          <w:p w:rsidR="00464FAF" w:rsidRDefault="00464FAF">
            <w:pPr>
              <w:ind w:left="-135" w:right="-57"/>
              <w:jc w:val="right"/>
              <w:rPr>
                <w:rFonts w:ascii="Century Gothic" w:hAnsi="Century Gothic"/>
                <w:sz w:val="16"/>
                <w:szCs w:val="16"/>
                <w:lang w:eastAsia="it-IT"/>
              </w:rPr>
            </w:pPr>
            <w:r>
              <w:rPr>
                <w:rFonts w:ascii="Century Gothic" w:hAnsi="Century Gothic"/>
                <w:sz w:val="16"/>
                <w:szCs w:val="16"/>
                <w:lang w:eastAsia="it-IT"/>
              </w:rPr>
              <w:t> </w:t>
            </w:r>
          </w:p>
        </w:tc>
        <w:tc>
          <w:tcPr>
            <w:tcW w:w="164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464FAF" w:rsidRDefault="00464FAF">
            <w:pPr>
              <w:ind w:left="-135" w:right="-57"/>
              <w:jc w:val="right"/>
              <w:rPr>
                <w:rFonts w:ascii="Century Gothic" w:hAnsi="Century Gothic"/>
                <w:sz w:val="16"/>
                <w:szCs w:val="16"/>
                <w:lang w:eastAsia="it-IT"/>
              </w:rPr>
            </w:pPr>
            <w:r>
              <w:rPr>
                <w:rFonts w:ascii="Century Gothic" w:hAnsi="Century Gothic"/>
                <w:b/>
                <w:bCs/>
                <w:sz w:val="16"/>
                <w:szCs w:val="16"/>
                <w:lang w:eastAsia="it-IT"/>
              </w:rPr>
              <w:t>74,2</w:t>
            </w:r>
          </w:p>
        </w:tc>
      </w:tr>
    </w:tbl>
    <w:p w:rsidR="00464FAF" w:rsidRDefault="00464FAF" w:rsidP="00464FAF">
      <w:pPr>
        <w:spacing w:after="200" w:line="253" w:lineRule="atLeast"/>
        <w:jc w:val="both"/>
        <w:rPr>
          <w:rFonts w:ascii="Century Gothic" w:hAnsi="Century Gothic"/>
          <w:color w:val="000000"/>
          <w:sz w:val="16"/>
          <w:szCs w:val="16"/>
          <w:lang w:eastAsia="it-IT"/>
        </w:rPr>
      </w:pPr>
      <w:r>
        <w:rPr>
          <w:rFonts w:ascii="Century Gothic" w:hAnsi="Century Gothic"/>
          <w:color w:val="000000"/>
          <w:sz w:val="16"/>
          <w:szCs w:val="16"/>
          <w:lang w:eastAsia="it-IT"/>
        </w:rPr>
        <w:t> </w:t>
      </w:r>
    </w:p>
    <w:p w:rsidR="00464FAF" w:rsidRDefault="00464FAF" w:rsidP="00464FAF">
      <w:pPr>
        <w:jc w:val="both"/>
        <w:rPr>
          <w:lang w:eastAsia="it-IT"/>
        </w:rPr>
      </w:pPr>
      <w:r>
        <w:rPr>
          <w:color w:val="000000"/>
          <w:lang w:eastAsia="it-IT"/>
        </w:rPr>
        <w:t> </w:t>
      </w:r>
      <w:bookmarkStart w:id="2" w:name="_Toc424391283"/>
      <w:r>
        <w:rPr>
          <w:lang w:eastAsia="it-IT"/>
        </w:rPr>
        <w:t>RAFFRONTO COSTI DI BENZINA E GASOLIO</w:t>
      </w:r>
      <w:bookmarkEnd w:id="2"/>
      <w:r>
        <w:rPr>
          <w:lang w:eastAsia="it-IT"/>
        </w:rPr>
        <w:t> </w:t>
      </w:r>
    </w:p>
    <w:p w:rsidR="00464FAF" w:rsidRDefault="00464FAF" w:rsidP="00464FAF">
      <w:pPr>
        <w:jc w:val="both"/>
        <w:rPr>
          <w:lang w:eastAsia="it-IT"/>
        </w:rPr>
      </w:pPr>
      <w:r>
        <w:rPr>
          <w:lang w:eastAsia="it-IT"/>
        </w:rPr>
        <w:t>Possiamo rapportare questi nuovi equilibri 2014 al prezzo di benzina e gasolio vigenti all’interno dei 5 paesi considerati (rilevazione di inizio luglio 2015 della Direzione Generale Energy Commissione Europea).</w:t>
      </w:r>
    </w:p>
    <w:p w:rsidR="00464FAF" w:rsidRDefault="00464FAF" w:rsidP="00464FAF">
      <w:pPr>
        <w:jc w:val="both"/>
        <w:rPr>
          <w:lang w:eastAsia="it-IT"/>
        </w:rPr>
      </w:pPr>
      <w:r>
        <w:rPr>
          <w:lang w:eastAsia="it-IT"/>
        </w:rPr>
        <w:t xml:space="preserve">Le tabelle che seguono informano del prezzo che benzina e gasolio dovrebbero avere nei vari paesi perché gli automobilisti tedeschi, francesi, inglesi e spagnoli sopportino un peso finanziario pari a quello che </w:t>
      </w:r>
      <w:r>
        <w:rPr>
          <w:lang w:eastAsia="it-IT"/>
        </w:rPr>
        <w:lastRenderedPageBreak/>
        <w:t>sopporta un italiano che si rifornisce alla pompa (Colonne 4). In  particolare, alla luce della relativa Capacità di spesa e del prezzo vigente, un litro di benzina dovrebbe costare in Francia 1,796 euro e non 1,441, in Germania 2,081 e non 1495 ecc. Il gasolio dovrebbe costare 1,614 euro in Francia, 1,871 in Germania ecc. In Lussemburgo dovrebbe costare 4,412 euro, mentre in realtà ne costa 1,250.</w:t>
      </w:r>
    </w:p>
    <w:p w:rsidR="00464FAF" w:rsidRDefault="00464FAF" w:rsidP="00464FAF">
      <w:pPr>
        <w:jc w:val="both"/>
        <w:rPr>
          <w:lang w:eastAsia="it-IT"/>
        </w:rPr>
      </w:pPr>
      <w:r>
        <w:rPr>
          <w:lang w:eastAsia="it-IT"/>
        </w:rPr>
        <w:t>All’inverso, le colonne 7 delle due tabelle riportano il prezzo che benzina e gasolio dovrebbero avere in Italia perché l’automobilista italiano affronti lo stesso impegno finanziario di un automobilista degli altri 4 paesi. Tenuto conto della rispettiva Capacità di spesa, per paragonarsi al francese, in Italia la benzina dovrebbe costare 1,306 euro; per paragonarsi al tedesco dovrebbe costare 1,170 euro ecc. Il gasolio dovrebbe costare in Italia 1,92 euro per paragonarsi all’esborso del francese; 0,971 euro a quello del Tedesco ecc.</w:t>
      </w:r>
    </w:p>
    <w:p w:rsidR="00464FAF" w:rsidRDefault="00464FAF" w:rsidP="00464FAF">
      <w:pPr>
        <w:jc w:val="center"/>
        <w:rPr>
          <w:b/>
          <w:bCs/>
          <w:color w:val="000000"/>
          <w:sz w:val="20"/>
          <w:szCs w:val="20"/>
          <w:lang w:eastAsia="it-IT"/>
        </w:rPr>
      </w:pPr>
      <w:bookmarkStart w:id="3" w:name="RANGE!A1:J41"/>
      <w:bookmarkEnd w:id="3"/>
      <w:r>
        <w:rPr>
          <w:b/>
          <w:bCs/>
          <w:sz w:val="20"/>
          <w:szCs w:val="20"/>
          <w:lang w:eastAsia="it-IT"/>
        </w:rPr>
        <w:t>Comparazione del prezzo della benzina in funzione della Capacità di spesa</w:t>
      </w:r>
    </w:p>
    <w:p w:rsidR="00464FAF" w:rsidRDefault="00464FAF" w:rsidP="00464FAF">
      <w:pPr>
        <w:jc w:val="center"/>
        <w:rPr>
          <w:b/>
          <w:bCs/>
          <w:color w:val="000000"/>
          <w:sz w:val="20"/>
          <w:szCs w:val="20"/>
          <w:lang w:eastAsia="it-IT"/>
        </w:rPr>
      </w:pPr>
      <w:r>
        <w:rPr>
          <w:b/>
          <w:bCs/>
          <w:sz w:val="20"/>
          <w:szCs w:val="20"/>
          <w:lang w:eastAsia="it-IT"/>
        </w:rPr>
        <w:t>(prezzo alla pompa rilevato da CE Dir. Generale Energia inizio 7-2015). </w:t>
      </w:r>
      <w:hyperlink r:id="rId7" w:history="1">
        <w:r>
          <w:rPr>
            <w:rStyle w:val="Collegamentoipertestuale"/>
            <w:rFonts w:eastAsiaTheme="minorHAnsi"/>
            <w:b/>
            <w:bCs/>
            <w:color w:val="auto"/>
            <w:sz w:val="20"/>
            <w:lang w:eastAsia="it-IT"/>
          </w:rPr>
          <w:t>Elaborazioni M. Novelli</w:t>
        </w:r>
      </w:hyperlink>
      <w:r>
        <w:rPr>
          <w:b/>
          <w:bCs/>
          <w:color w:val="000000"/>
          <w:sz w:val="20"/>
          <w:szCs w:val="20"/>
          <w:lang w:eastAsia="it-IT"/>
        </w:rPr>
        <w:t xml:space="preserve"> </w:t>
      </w:r>
      <w:proofErr w:type="spellStart"/>
      <w:r>
        <w:rPr>
          <w:b/>
          <w:bCs/>
          <w:color w:val="000000"/>
          <w:sz w:val="20"/>
          <w:szCs w:val="20"/>
          <w:lang w:eastAsia="it-IT"/>
        </w:rPr>
        <w:t>er</w:t>
      </w:r>
      <w:proofErr w:type="spellEnd"/>
      <w:r>
        <w:rPr>
          <w:b/>
          <w:bCs/>
          <w:color w:val="000000"/>
          <w:sz w:val="20"/>
          <w:szCs w:val="20"/>
          <w:lang w:eastAsia="it-IT"/>
        </w:rPr>
        <w:t xml:space="preserve"> Adusbef</w:t>
      </w:r>
    </w:p>
    <w:tbl>
      <w:tblPr>
        <w:tblW w:w="5000" w:type="pct"/>
        <w:jc w:val="center"/>
        <w:tblLayout w:type="fixed"/>
        <w:tblCellMar>
          <w:left w:w="0" w:type="dxa"/>
          <w:right w:w="0" w:type="dxa"/>
        </w:tblCellMar>
        <w:tblLook w:val="04A0" w:firstRow="1" w:lastRow="0" w:firstColumn="1" w:lastColumn="0" w:noHBand="0" w:noVBand="1"/>
      </w:tblPr>
      <w:tblGrid>
        <w:gridCol w:w="553"/>
        <w:gridCol w:w="1785"/>
        <w:gridCol w:w="1134"/>
        <w:gridCol w:w="1559"/>
        <w:gridCol w:w="2126"/>
        <w:gridCol w:w="2621"/>
      </w:tblGrid>
      <w:tr w:rsidR="00464FAF" w:rsidTr="00464FAF">
        <w:trPr>
          <w:trHeight w:val="930"/>
          <w:jc w:val="center"/>
        </w:trPr>
        <w:tc>
          <w:tcPr>
            <w:tcW w:w="283" w:type="pct"/>
            <w:tcBorders>
              <w:top w:val="single" w:sz="8" w:space="0" w:color="auto"/>
              <w:left w:val="single" w:sz="8" w:space="0" w:color="auto"/>
              <w:bottom w:val="single" w:sz="8" w:space="0" w:color="auto"/>
              <w:right w:val="single" w:sz="8" w:space="0" w:color="auto"/>
            </w:tcBorders>
            <w:shd w:val="clear" w:color="auto" w:fill="76923C"/>
            <w:tcMar>
              <w:top w:w="0" w:type="dxa"/>
              <w:left w:w="70" w:type="dxa"/>
              <w:bottom w:w="0" w:type="dxa"/>
              <w:right w:w="70" w:type="dxa"/>
            </w:tcMar>
            <w:hideMark/>
          </w:tcPr>
          <w:p w:rsidR="00464FAF" w:rsidRDefault="00464FAF">
            <w:pPr>
              <w:ind w:right="-568"/>
              <w:jc w:val="center"/>
              <w:rPr>
                <w:rFonts w:ascii="Century Gothic" w:hAnsi="Century Gothic"/>
                <w:sz w:val="16"/>
                <w:szCs w:val="16"/>
                <w:lang w:eastAsia="it-IT"/>
              </w:rPr>
            </w:pPr>
            <w:r>
              <w:rPr>
                <w:rFonts w:ascii="Century Gothic" w:hAnsi="Century Gothic"/>
                <w:b/>
                <w:bCs/>
                <w:color w:val="FFFFFF"/>
                <w:sz w:val="16"/>
                <w:szCs w:val="16"/>
                <w:lang w:eastAsia="it-IT"/>
              </w:rPr>
              <w:t> </w:t>
            </w:r>
          </w:p>
        </w:tc>
        <w:tc>
          <w:tcPr>
            <w:tcW w:w="1492" w:type="pct"/>
            <w:gridSpan w:val="2"/>
            <w:tcBorders>
              <w:top w:val="single" w:sz="8" w:space="0" w:color="auto"/>
              <w:left w:val="nil"/>
              <w:bottom w:val="single" w:sz="8" w:space="0" w:color="auto"/>
              <w:right w:val="single" w:sz="8" w:space="0" w:color="auto"/>
            </w:tcBorders>
            <w:shd w:val="clear" w:color="auto" w:fill="76923C"/>
            <w:noWrap/>
            <w:tcMar>
              <w:top w:w="0" w:type="dxa"/>
              <w:left w:w="70" w:type="dxa"/>
              <w:bottom w:w="0" w:type="dxa"/>
              <w:right w:w="70" w:type="dxa"/>
            </w:tcMar>
            <w:hideMark/>
          </w:tcPr>
          <w:p w:rsidR="00464FAF" w:rsidRDefault="00464FAF">
            <w:pPr>
              <w:ind w:right="71"/>
              <w:jc w:val="center"/>
              <w:rPr>
                <w:rFonts w:ascii="Century Gothic" w:hAnsi="Century Gothic"/>
                <w:sz w:val="16"/>
                <w:szCs w:val="16"/>
                <w:lang w:eastAsia="it-IT"/>
              </w:rPr>
            </w:pPr>
            <w:r>
              <w:rPr>
                <w:rFonts w:ascii="Century Gothic" w:hAnsi="Century Gothic"/>
                <w:b/>
                <w:bCs/>
                <w:color w:val="FFFFFF"/>
                <w:sz w:val="16"/>
                <w:szCs w:val="16"/>
                <w:lang w:eastAsia="it-IT"/>
              </w:rPr>
              <w:t>costo</w:t>
            </w:r>
          </w:p>
          <w:p w:rsidR="00464FAF" w:rsidRDefault="00464FAF">
            <w:pPr>
              <w:ind w:right="71"/>
              <w:jc w:val="center"/>
              <w:rPr>
                <w:rFonts w:ascii="Century Gothic" w:hAnsi="Century Gothic"/>
                <w:sz w:val="16"/>
                <w:szCs w:val="16"/>
                <w:lang w:eastAsia="it-IT"/>
              </w:rPr>
            </w:pPr>
            <w:r>
              <w:rPr>
                <w:rFonts w:ascii="Century Gothic" w:hAnsi="Century Gothic"/>
                <w:b/>
                <w:bCs/>
                <w:color w:val="FFFFFF"/>
                <w:sz w:val="16"/>
                <w:szCs w:val="16"/>
                <w:lang w:eastAsia="it-IT"/>
              </w:rPr>
              <w:t>di 1 litro</w:t>
            </w:r>
          </w:p>
          <w:p w:rsidR="00464FAF" w:rsidRDefault="00464FAF">
            <w:pPr>
              <w:ind w:right="71"/>
              <w:jc w:val="center"/>
              <w:rPr>
                <w:rFonts w:ascii="Century Gothic" w:hAnsi="Century Gothic"/>
                <w:sz w:val="16"/>
                <w:szCs w:val="16"/>
                <w:lang w:eastAsia="it-IT"/>
              </w:rPr>
            </w:pPr>
            <w:r>
              <w:rPr>
                <w:rFonts w:ascii="Century Gothic" w:hAnsi="Century Gothic"/>
                <w:b/>
                <w:bCs/>
                <w:color w:val="FFFFFF"/>
                <w:sz w:val="16"/>
                <w:szCs w:val="16"/>
                <w:lang w:eastAsia="it-IT"/>
              </w:rPr>
              <w:t>di benzina</w:t>
            </w:r>
          </w:p>
        </w:tc>
        <w:tc>
          <w:tcPr>
            <w:tcW w:w="797" w:type="pct"/>
            <w:tcBorders>
              <w:top w:val="single" w:sz="8" w:space="0" w:color="auto"/>
              <w:left w:val="nil"/>
              <w:bottom w:val="single" w:sz="8" w:space="0" w:color="auto"/>
              <w:right w:val="single" w:sz="8" w:space="0" w:color="auto"/>
            </w:tcBorders>
            <w:shd w:val="clear" w:color="auto" w:fill="76923C"/>
            <w:noWrap/>
            <w:tcMar>
              <w:top w:w="0" w:type="dxa"/>
              <w:left w:w="70" w:type="dxa"/>
              <w:bottom w:w="0" w:type="dxa"/>
              <w:right w:w="70" w:type="dxa"/>
            </w:tcMar>
            <w:hideMark/>
          </w:tcPr>
          <w:p w:rsidR="00464FAF" w:rsidRDefault="00464FAF">
            <w:pPr>
              <w:ind w:right="71"/>
              <w:jc w:val="center"/>
              <w:rPr>
                <w:rFonts w:ascii="Century Gothic" w:hAnsi="Century Gothic"/>
                <w:sz w:val="16"/>
                <w:szCs w:val="16"/>
                <w:lang w:eastAsia="it-IT"/>
              </w:rPr>
            </w:pPr>
            <w:r>
              <w:rPr>
                <w:rFonts w:ascii="Century Gothic" w:hAnsi="Century Gothic"/>
                <w:b/>
                <w:bCs/>
                <w:color w:val="FFFFFF"/>
                <w:sz w:val="16"/>
                <w:szCs w:val="16"/>
                <w:lang w:eastAsia="it-IT"/>
              </w:rPr>
              <w:t>PIL  pro capite</w:t>
            </w:r>
          </w:p>
          <w:p w:rsidR="00464FAF" w:rsidRDefault="00464FAF">
            <w:pPr>
              <w:ind w:right="71"/>
              <w:jc w:val="center"/>
              <w:rPr>
                <w:rFonts w:ascii="Century Gothic" w:hAnsi="Century Gothic"/>
                <w:sz w:val="16"/>
                <w:szCs w:val="16"/>
                <w:lang w:eastAsia="it-IT"/>
              </w:rPr>
            </w:pPr>
            <w:r>
              <w:rPr>
                <w:rFonts w:ascii="Century Gothic" w:hAnsi="Century Gothic"/>
                <w:b/>
                <w:bCs/>
                <w:color w:val="FFFFFF"/>
                <w:sz w:val="16"/>
                <w:szCs w:val="16"/>
                <w:lang w:eastAsia="it-IT"/>
              </w:rPr>
              <w:t>in PPS 2014 </w:t>
            </w:r>
          </w:p>
          <w:p w:rsidR="00464FAF" w:rsidRDefault="00464FAF">
            <w:pPr>
              <w:ind w:right="71"/>
              <w:jc w:val="center"/>
              <w:rPr>
                <w:rFonts w:ascii="Century Gothic" w:hAnsi="Century Gothic"/>
                <w:sz w:val="16"/>
                <w:szCs w:val="16"/>
                <w:lang w:eastAsia="it-IT"/>
              </w:rPr>
            </w:pPr>
            <w:r>
              <w:rPr>
                <w:rFonts w:ascii="Century Gothic" w:hAnsi="Century Gothic"/>
                <w:b/>
                <w:bCs/>
                <w:color w:val="FFFFFF"/>
                <w:sz w:val="16"/>
                <w:szCs w:val="16"/>
                <w:lang w:eastAsia="it-IT"/>
              </w:rPr>
              <w:t>Italia=100</w:t>
            </w:r>
          </w:p>
        </w:tc>
        <w:tc>
          <w:tcPr>
            <w:tcW w:w="1087" w:type="pct"/>
            <w:tcBorders>
              <w:top w:val="single" w:sz="8" w:space="0" w:color="auto"/>
              <w:left w:val="nil"/>
              <w:bottom w:val="single" w:sz="8" w:space="0" w:color="auto"/>
              <w:right w:val="single" w:sz="8" w:space="0" w:color="auto"/>
            </w:tcBorders>
            <w:shd w:val="clear" w:color="auto" w:fill="76923C"/>
            <w:noWrap/>
            <w:tcMar>
              <w:top w:w="0" w:type="dxa"/>
              <w:left w:w="70" w:type="dxa"/>
              <w:bottom w:w="0" w:type="dxa"/>
              <w:right w:w="70" w:type="dxa"/>
            </w:tcMar>
            <w:hideMark/>
          </w:tcPr>
          <w:p w:rsidR="00464FAF" w:rsidRDefault="00464FAF">
            <w:pPr>
              <w:ind w:right="281"/>
              <w:jc w:val="center"/>
              <w:rPr>
                <w:rFonts w:ascii="Century Gothic" w:hAnsi="Century Gothic"/>
                <w:sz w:val="16"/>
                <w:szCs w:val="16"/>
                <w:lang w:eastAsia="it-IT"/>
              </w:rPr>
            </w:pPr>
            <w:r>
              <w:rPr>
                <w:rFonts w:ascii="Century Gothic" w:hAnsi="Century Gothic"/>
                <w:b/>
                <w:bCs/>
                <w:color w:val="FFFFFF"/>
                <w:sz w:val="16"/>
                <w:szCs w:val="16"/>
                <w:lang w:eastAsia="it-IT"/>
              </w:rPr>
              <w:t>Per sopportare lo stesso peso economico soste-</w:t>
            </w:r>
            <w:proofErr w:type="spellStart"/>
            <w:r>
              <w:rPr>
                <w:rFonts w:ascii="Century Gothic" w:hAnsi="Century Gothic"/>
                <w:b/>
                <w:bCs/>
                <w:color w:val="FFFFFF"/>
                <w:sz w:val="16"/>
                <w:szCs w:val="16"/>
                <w:lang w:eastAsia="it-IT"/>
              </w:rPr>
              <w:t>nuto</w:t>
            </w:r>
            <w:proofErr w:type="spellEnd"/>
            <w:r>
              <w:rPr>
                <w:rFonts w:ascii="Century Gothic" w:hAnsi="Century Gothic"/>
                <w:b/>
                <w:bCs/>
                <w:color w:val="FFFFFF"/>
                <w:sz w:val="16"/>
                <w:szCs w:val="16"/>
                <w:lang w:eastAsia="it-IT"/>
              </w:rPr>
              <w:t> dal consumatore in Italia, nel paese X un litro di benzina dovrebbe costare…..</w:t>
            </w:r>
          </w:p>
        </w:tc>
        <w:tc>
          <w:tcPr>
            <w:tcW w:w="1340" w:type="pct"/>
            <w:tcBorders>
              <w:top w:val="single" w:sz="8" w:space="0" w:color="auto"/>
              <w:left w:val="nil"/>
              <w:bottom w:val="single" w:sz="8" w:space="0" w:color="auto"/>
              <w:right w:val="single" w:sz="8" w:space="0" w:color="auto"/>
            </w:tcBorders>
            <w:shd w:val="clear" w:color="auto" w:fill="76923C"/>
            <w:noWrap/>
            <w:tcMar>
              <w:top w:w="0" w:type="dxa"/>
              <w:left w:w="70" w:type="dxa"/>
              <w:bottom w:w="0" w:type="dxa"/>
              <w:right w:w="70" w:type="dxa"/>
            </w:tcMar>
            <w:hideMark/>
          </w:tcPr>
          <w:p w:rsidR="00464FAF" w:rsidRDefault="00464FAF">
            <w:pPr>
              <w:ind w:right="282"/>
              <w:jc w:val="center"/>
              <w:rPr>
                <w:rFonts w:ascii="Century Gothic" w:hAnsi="Century Gothic"/>
                <w:sz w:val="16"/>
                <w:szCs w:val="16"/>
                <w:lang w:eastAsia="it-IT"/>
              </w:rPr>
            </w:pPr>
            <w:r>
              <w:rPr>
                <w:rFonts w:ascii="Century Gothic" w:hAnsi="Century Gothic"/>
                <w:b/>
                <w:bCs/>
                <w:color w:val="FFFFFF"/>
                <w:sz w:val="16"/>
                <w:szCs w:val="16"/>
                <w:lang w:eastAsia="it-IT"/>
              </w:rPr>
              <w:t>Per sopportare lo stesso peso economico sostenuto dal consumatore del paese X, in Italia un litro di benzina dovrebbe costare…..</w:t>
            </w:r>
          </w:p>
        </w:tc>
      </w:tr>
      <w:tr w:rsidR="00464FAF" w:rsidRPr="00464FAF" w:rsidTr="00464FAF">
        <w:trPr>
          <w:trHeight w:val="255"/>
          <w:jc w:val="center"/>
        </w:trPr>
        <w:tc>
          <w:tcPr>
            <w:tcW w:w="1196" w:type="pct"/>
            <w:gridSpan w:val="2"/>
            <w:tcBorders>
              <w:top w:val="nil"/>
              <w:left w:val="single" w:sz="8" w:space="0" w:color="auto"/>
              <w:bottom w:val="single" w:sz="8" w:space="0" w:color="auto"/>
              <w:right w:val="single" w:sz="8" w:space="0" w:color="auto"/>
            </w:tcBorders>
            <w:shd w:val="clear" w:color="auto" w:fill="76923C"/>
            <w:tcMar>
              <w:top w:w="0" w:type="dxa"/>
              <w:left w:w="70" w:type="dxa"/>
              <w:bottom w:w="0" w:type="dxa"/>
              <w:right w:w="70" w:type="dxa"/>
            </w:tcMar>
            <w:hideMark/>
          </w:tcPr>
          <w:p w:rsidR="00464FAF" w:rsidRPr="00464FAF" w:rsidRDefault="00464FAF" w:rsidP="00464FAF">
            <w:pPr>
              <w:spacing w:line="253" w:lineRule="atLeast"/>
              <w:ind w:right="72"/>
              <w:rPr>
                <w:rFonts w:ascii="Century Gothic" w:hAnsi="Century Gothic"/>
                <w:b/>
                <w:bCs/>
                <w:sz w:val="16"/>
                <w:szCs w:val="16"/>
                <w:lang w:eastAsia="it-IT"/>
              </w:rPr>
            </w:pPr>
            <w:r w:rsidRPr="00464FAF">
              <w:rPr>
                <w:rFonts w:ascii="Century Gothic" w:hAnsi="Century Gothic"/>
                <w:b/>
                <w:bCs/>
                <w:sz w:val="16"/>
                <w:szCs w:val="16"/>
                <w:lang w:eastAsia="it-IT"/>
              </w:rPr>
              <w:t>Francia</w:t>
            </w:r>
          </w:p>
        </w:tc>
        <w:tc>
          <w:tcPr>
            <w:tcW w:w="580"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1,441</w:t>
            </w:r>
          </w:p>
        </w:tc>
        <w:tc>
          <w:tcPr>
            <w:tcW w:w="797"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sidRPr="00464FAF">
              <w:rPr>
                <w:rFonts w:ascii="Century Gothic" w:hAnsi="Century Gothic"/>
                <w:b/>
                <w:bCs/>
                <w:sz w:val="16"/>
                <w:szCs w:val="16"/>
                <w:lang w:eastAsia="it-IT"/>
              </w:rPr>
              <w:t>110,3</w:t>
            </w:r>
          </w:p>
        </w:tc>
        <w:tc>
          <w:tcPr>
            <w:tcW w:w="1087" w:type="pct"/>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1,796</w:t>
            </w:r>
          </w:p>
        </w:tc>
        <w:tc>
          <w:tcPr>
            <w:tcW w:w="1340" w:type="pct"/>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1,306</w:t>
            </w:r>
          </w:p>
        </w:tc>
      </w:tr>
      <w:tr w:rsidR="00464FAF" w:rsidRPr="00464FAF" w:rsidTr="00464FAF">
        <w:trPr>
          <w:trHeight w:val="255"/>
          <w:jc w:val="center"/>
        </w:trPr>
        <w:tc>
          <w:tcPr>
            <w:tcW w:w="1196" w:type="pct"/>
            <w:gridSpan w:val="2"/>
            <w:tcBorders>
              <w:top w:val="nil"/>
              <w:left w:val="single" w:sz="8" w:space="0" w:color="auto"/>
              <w:bottom w:val="single" w:sz="8" w:space="0" w:color="auto"/>
              <w:right w:val="single" w:sz="8" w:space="0" w:color="auto"/>
            </w:tcBorders>
            <w:shd w:val="clear" w:color="auto" w:fill="76923C"/>
            <w:tcMar>
              <w:top w:w="0" w:type="dxa"/>
              <w:left w:w="70" w:type="dxa"/>
              <w:bottom w:w="0" w:type="dxa"/>
              <w:right w:w="70" w:type="dxa"/>
            </w:tcMar>
            <w:hideMark/>
          </w:tcPr>
          <w:p w:rsidR="00464FAF" w:rsidRPr="00464FAF" w:rsidRDefault="00464FAF" w:rsidP="00464FAF">
            <w:pPr>
              <w:spacing w:line="253" w:lineRule="atLeast"/>
              <w:ind w:right="72"/>
              <w:rPr>
                <w:rFonts w:ascii="Century Gothic" w:hAnsi="Century Gothic"/>
                <w:b/>
                <w:bCs/>
                <w:sz w:val="16"/>
                <w:szCs w:val="16"/>
                <w:lang w:eastAsia="it-IT"/>
              </w:rPr>
            </w:pPr>
            <w:r w:rsidRPr="00464FAF">
              <w:rPr>
                <w:rFonts w:ascii="Century Gothic" w:hAnsi="Century Gothic"/>
                <w:b/>
                <w:bCs/>
                <w:sz w:val="16"/>
                <w:szCs w:val="16"/>
                <w:lang w:eastAsia="it-IT"/>
              </w:rPr>
              <w:t>Germania</w:t>
            </w:r>
          </w:p>
        </w:tc>
        <w:tc>
          <w:tcPr>
            <w:tcW w:w="580"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1,495</w:t>
            </w:r>
          </w:p>
        </w:tc>
        <w:tc>
          <w:tcPr>
            <w:tcW w:w="797"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sidRPr="00464FAF">
              <w:rPr>
                <w:rFonts w:ascii="Century Gothic" w:hAnsi="Century Gothic"/>
                <w:b/>
                <w:bCs/>
                <w:sz w:val="16"/>
                <w:szCs w:val="16"/>
                <w:lang w:eastAsia="it-IT"/>
              </w:rPr>
              <w:t>127,8</w:t>
            </w:r>
          </w:p>
        </w:tc>
        <w:tc>
          <w:tcPr>
            <w:tcW w:w="1087" w:type="pct"/>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2,081</w:t>
            </w:r>
          </w:p>
        </w:tc>
        <w:tc>
          <w:tcPr>
            <w:tcW w:w="1340" w:type="pct"/>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1,170</w:t>
            </w:r>
          </w:p>
        </w:tc>
      </w:tr>
      <w:tr w:rsidR="00464FAF" w:rsidRPr="00464FAF" w:rsidTr="00464FAF">
        <w:trPr>
          <w:trHeight w:val="255"/>
          <w:jc w:val="center"/>
        </w:trPr>
        <w:tc>
          <w:tcPr>
            <w:tcW w:w="1196" w:type="pct"/>
            <w:gridSpan w:val="2"/>
            <w:tcBorders>
              <w:top w:val="nil"/>
              <w:left w:val="single" w:sz="8" w:space="0" w:color="auto"/>
              <w:bottom w:val="single" w:sz="8" w:space="0" w:color="auto"/>
              <w:right w:val="single" w:sz="8" w:space="0" w:color="auto"/>
            </w:tcBorders>
            <w:shd w:val="clear" w:color="auto" w:fill="76923C"/>
            <w:tcMar>
              <w:top w:w="0" w:type="dxa"/>
              <w:left w:w="70" w:type="dxa"/>
              <w:bottom w:w="0" w:type="dxa"/>
              <w:right w:w="70" w:type="dxa"/>
            </w:tcMar>
            <w:hideMark/>
          </w:tcPr>
          <w:p w:rsidR="00464FAF" w:rsidRPr="00464FAF" w:rsidRDefault="00464FAF" w:rsidP="00464FAF">
            <w:pPr>
              <w:spacing w:line="253" w:lineRule="atLeast"/>
              <w:ind w:right="72"/>
              <w:rPr>
                <w:rFonts w:ascii="Century Gothic" w:hAnsi="Century Gothic"/>
                <w:b/>
                <w:bCs/>
                <w:sz w:val="16"/>
                <w:szCs w:val="16"/>
                <w:lang w:eastAsia="it-IT"/>
              </w:rPr>
            </w:pPr>
            <w:r w:rsidRPr="00464FAF">
              <w:rPr>
                <w:rFonts w:ascii="Century Gothic" w:hAnsi="Century Gothic"/>
                <w:b/>
                <w:bCs/>
                <w:sz w:val="16"/>
                <w:szCs w:val="16"/>
                <w:lang w:eastAsia="it-IT"/>
              </w:rPr>
              <w:t>Italia</w:t>
            </w:r>
          </w:p>
        </w:tc>
        <w:tc>
          <w:tcPr>
            <w:tcW w:w="580"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sidRPr="00464FAF">
              <w:rPr>
                <w:rFonts w:ascii="Century Gothic" w:hAnsi="Century Gothic"/>
                <w:b/>
                <w:bCs/>
                <w:sz w:val="16"/>
                <w:szCs w:val="16"/>
                <w:lang w:eastAsia="it-IT"/>
              </w:rPr>
              <w:t>1,628</w:t>
            </w:r>
          </w:p>
        </w:tc>
        <w:tc>
          <w:tcPr>
            <w:tcW w:w="797"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sidRPr="00464FAF">
              <w:rPr>
                <w:rFonts w:ascii="Century Gothic" w:hAnsi="Century Gothic"/>
                <w:b/>
                <w:bCs/>
                <w:sz w:val="16"/>
                <w:szCs w:val="16"/>
                <w:lang w:eastAsia="it-IT"/>
              </w:rPr>
              <w:t>100,0</w:t>
            </w:r>
          </w:p>
        </w:tc>
        <w:tc>
          <w:tcPr>
            <w:tcW w:w="1087" w:type="pct"/>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w:t>
            </w:r>
          </w:p>
        </w:tc>
        <w:tc>
          <w:tcPr>
            <w:tcW w:w="1340" w:type="pct"/>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w:t>
            </w:r>
          </w:p>
        </w:tc>
      </w:tr>
      <w:tr w:rsidR="00464FAF" w:rsidRPr="00464FAF" w:rsidTr="00464FAF">
        <w:trPr>
          <w:trHeight w:val="255"/>
          <w:jc w:val="center"/>
        </w:trPr>
        <w:tc>
          <w:tcPr>
            <w:tcW w:w="1196" w:type="pct"/>
            <w:gridSpan w:val="2"/>
            <w:tcBorders>
              <w:top w:val="nil"/>
              <w:left w:val="single" w:sz="8" w:space="0" w:color="auto"/>
              <w:bottom w:val="single" w:sz="8" w:space="0" w:color="auto"/>
              <w:right w:val="single" w:sz="8" w:space="0" w:color="auto"/>
            </w:tcBorders>
            <w:shd w:val="clear" w:color="auto" w:fill="76923C"/>
            <w:tcMar>
              <w:top w:w="0" w:type="dxa"/>
              <w:left w:w="70" w:type="dxa"/>
              <w:bottom w:w="0" w:type="dxa"/>
              <w:right w:w="70" w:type="dxa"/>
            </w:tcMar>
            <w:hideMark/>
          </w:tcPr>
          <w:p w:rsidR="00464FAF" w:rsidRPr="00464FAF" w:rsidRDefault="00464FAF" w:rsidP="00464FAF">
            <w:pPr>
              <w:spacing w:line="253" w:lineRule="atLeast"/>
              <w:ind w:right="72"/>
              <w:rPr>
                <w:rFonts w:ascii="Century Gothic" w:hAnsi="Century Gothic"/>
                <w:b/>
                <w:bCs/>
                <w:sz w:val="16"/>
                <w:szCs w:val="16"/>
                <w:lang w:eastAsia="it-IT"/>
              </w:rPr>
            </w:pPr>
            <w:r w:rsidRPr="00464FAF">
              <w:rPr>
                <w:rFonts w:ascii="Century Gothic" w:hAnsi="Century Gothic"/>
                <w:b/>
                <w:bCs/>
                <w:sz w:val="16"/>
                <w:szCs w:val="16"/>
                <w:lang w:eastAsia="it-IT"/>
              </w:rPr>
              <w:t>G. Bretagna</w:t>
            </w:r>
          </w:p>
        </w:tc>
        <w:tc>
          <w:tcPr>
            <w:tcW w:w="580"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1,325</w:t>
            </w:r>
          </w:p>
        </w:tc>
        <w:tc>
          <w:tcPr>
            <w:tcW w:w="797"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sidRPr="00464FAF">
              <w:rPr>
                <w:rFonts w:ascii="Century Gothic" w:hAnsi="Century Gothic"/>
                <w:b/>
                <w:bCs/>
                <w:sz w:val="16"/>
                <w:szCs w:val="16"/>
                <w:lang w:eastAsia="it-IT"/>
              </w:rPr>
              <w:t>95,9</w:t>
            </w:r>
          </w:p>
        </w:tc>
        <w:tc>
          <w:tcPr>
            <w:tcW w:w="1087" w:type="pct"/>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1,561</w:t>
            </w:r>
          </w:p>
        </w:tc>
        <w:tc>
          <w:tcPr>
            <w:tcW w:w="1340" w:type="pct"/>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1,382</w:t>
            </w:r>
          </w:p>
        </w:tc>
      </w:tr>
      <w:tr w:rsidR="00464FAF" w:rsidRPr="00464FAF" w:rsidTr="00464FAF">
        <w:trPr>
          <w:trHeight w:val="255"/>
          <w:jc w:val="center"/>
        </w:trPr>
        <w:tc>
          <w:tcPr>
            <w:tcW w:w="1196" w:type="pct"/>
            <w:gridSpan w:val="2"/>
            <w:tcBorders>
              <w:top w:val="nil"/>
              <w:left w:val="single" w:sz="8" w:space="0" w:color="auto"/>
              <w:bottom w:val="single" w:sz="8" w:space="0" w:color="auto"/>
              <w:right w:val="single" w:sz="8" w:space="0" w:color="auto"/>
            </w:tcBorders>
            <w:shd w:val="clear" w:color="auto" w:fill="76923C"/>
            <w:tcMar>
              <w:top w:w="0" w:type="dxa"/>
              <w:left w:w="70" w:type="dxa"/>
              <w:bottom w:w="0" w:type="dxa"/>
              <w:right w:w="70" w:type="dxa"/>
            </w:tcMar>
            <w:hideMark/>
          </w:tcPr>
          <w:p w:rsidR="00464FAF" w:rsidRPr="00464FAF" w:rsidRDefault="00464FAF" w:rsidP="00464FAF">
            <w:pPr>
              <w:spacing w:line="253" w:lineRule="atLeast"/>
              <w:ind w:right="72"/>
              <w:rPr>
                <w:rFonts w:ascii="Century Gothic" w:hAnsi="Century Gothic"/>
                <w:b/>
                <w:bCs/>
                <w:sz w:val="16"/>
                <w:szCs w:val="16"/>
                <w:lang w:eastAsia="it-IT"/>
              </w:rPr>
            </w:pPr>
            <w:r w:rsidRPr="00464FAF">
              <w:rPr>
                <w:rFonts w:ascii="Century Gothic" w:hAnsi="Century Gothic"/>
                <w:b/>
                <w:bCs/>
                <w:sz w:val="16"/>
                <w:szCs w:val="16"/>
                <w:lang w:eastAsia="it-IT"/>
              </w:rPr>
              <w:t>Spagna</w:t>
            </w:r>
          </w:p>
        </w:tc>
        <w:tc>
          <w:tcPr>
            <w:tcW w:w="580"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1,645</w:t>
            </w:r>
          </w:p>
        </w:tc>
        <w:tc>
          <w:tcPr>
            <w:tcW w:w="797"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sidRPr="00464FAF">
              <w:rPr>
                <w:rFonts w:ascii="Century Gothic" w:hAnsi="Century Gothic"/>
                <w:b/>
                <w:bCs/>
                <w:sz w:val="16"/>
                <w:szCs w:val="16"/>
                <w:lang w:eastAsia="it-IT"/>
              </w:rPr>
              <w:t>111,3</w:t>
            </w:r>
          </w:p>
        </w:tc>
        <w:tc>
          <w:tcPr>
            <w:tcW w:w="1087" w:type="pct"/>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1,812</w:t>
            </w:r>
          </w:p>
        </w:tc>
        <w:tc>
          <w:tcPr>
            <w:tcW w:w="1340" w:type="pct"/>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1,478</w:t>
            </w:r>
          </w:p>
        </w:tc>
      </w:tr>
      <w:tr w:rsidR="00464FAF" w:rsidRPr="00464FAF" w:rsidTr="00464FAF">
        <w:trPr>
          <w:trHeight w:val="43"/>
          <w:jc w:val="center"/>
        </w:trPr>
        <w:tc>
          <w:tcPr>
            <w:tcW w:w="1196" w:type="pct"/>
            <w:gridSpan w:val="2"/>
            <w:tcBorders>
              <w:top w:val="nil"/>
              <w:left w:val="single" w:sz="8" w:space="0" w:color="auto"/>
              <w:bottom w:val="single" w:sz="8" w:space="0" w:color="auto"/>
              <w:right w:val="single" w:sz="8" w:space="0" w:color="auto"/>
            </w:tcBorders>
            <w:shd w:val="clear" w:color="auto" w:fill="76923C"/>
            <w:tcMar>
              <w:top w:w="0" w:type="dxa"/>
              <w:left w:w="70" w:type="dxa"/>
              <w:bottom w:w="0" w:type="dxa"/>
              <w:right w:w="70" w:type="dxa"/>
            </w:tcMar>
            <w:hideMark/>
          </w:tcPr>
          <w:p w:rsidR="00464FAF" w:rsidRPr="00464FAF" w:rsidRDefault="00464FAF" w:rsidP="00464FAF">
            <w:pPr>
              <w:spacing w:line="253" w:lineRule="atLeast"/>
              <w:ind w:right="72"/>
              <w:rPr>
                <w:rFonts w:ascii="Century Gothic" w:hAnsi="Century Gothic"/>
                <w:b/>
                <w:bCs/>
                <w:sz w:val="16"/>
                <w:szCs w:val="16"/>
                <w:lang w:eastAsia="it-IT"/>
              </w:rPr>
            </w:pPr>
            <w:r w:rsidRPr="00464FAF">
              <w:rPr>
                <w:rFonts w:ascii="Century Gothic" w:hAnsi="Century Gothic"/>
                <w:b/>
                <w:bCs/>
                <w:sz w:val="16"/>
                <w:szCs w:val="16"/>
                <w:lang w:eastAsia="it-IT"/>
              </w:rPr>
              <w:t>Lussemburgo</w:t>
            </w:r>
          </w:p>
        </w:tc>
        <w:tc>
          <w:tcPr>
            <w:tcW w:w="580"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1,250</w:t>
            </w:r>
          </w:p>
        </w:tc>
        <w:tc>
          <w:tcPr>
            <w:tcW w:w="797"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sidRPr="00464FAF">
              <w:rPr>
                <w:rFonts w:ascii="Century Gothic" w:hAnsi="Century Gothic"/>
                <w:b/>
                <w:bCs/>
                <w:sz w:val="16"/>
                <w:szCs w:val="16"/>
                <w:lang w:eastAsia="it-IT"/>
              </w:rPr>
              <w:t>271,00</w:t>
            </w:r>
          </w:p>
        </w:tc>
        <w:tc>
          <w:tcPr>
            <w:tcW w:w="1087"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4,412</w:t>
            </w:r>
          </w:p>
        </w:tc>
        <w:tc>
          <w:tcPr>
            <w:tcW w:w="13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0,463</w:t>
            </w:r>
          </w:p>
        </w:tc>
      </w:tr>
      <w:tr w:rsidR="00464FAF" w:rsidRPr="00464FAF" w:rsidTr="00464FAF">
        <w:trPr>
          <w:trHeight w:val="255"/>
          <w:jc w:val="center"/>
        </w:trPr>
        <w:tc>
          <w:tcPr>
            <w:tcW w:w="1196" w:type="pct"/>
            <w:gridSpan w:val="2"/>
            <w:tcBorders>
              <w:top w:val="nil"/>
              <w:left w:val="single" w:sz="8" w:space="0" w:color="auto"/>
              <w:bottom w:val="single" w:sz="8" w:space="0" w:color="auto"/>
              <w:right w:val="single" w:sz="8" w:space="0" w:color="auto"/>
            </w:tcBorders>
            <w:shd w:val="clear" w:color="auto" w:fill="76923C"/>
            <w:tcMar>
              <w:top w:w="0" w:type="dxa"/>
              <w:left w:w="70" w:type="dxa"/>
              <w:bottom w:w="0" w:type="dxa"/>
              <w:right w:w="70" w:type="dxa"/>
            </w:tcMar>
            <w:hideMark/>
          </w:tcPr>
          <w:p w:rsidR="00464FAF" w:rsidRPr="00464FAF" w:rsidRDefault="00464FAF" w:rsidP="00464FAF">
            <w:pPr>
              <w:spacing w:line="253" w:lineRule="atLeast"/>
              <w:ind w:right="72"/>
              <w:rPr>
                <w:rFonts w:ascii="Century Gothic" w:hAnsi="Century Gothic"/>
                <w:b/>
                <w:bCs/>
                <w:sz w:val="16"/>
                <w:szCs w:val="16"/>
                <w:lang w:eastAsia="it-IT"/>
              </w:rPr>
            </w:pPr>
            <w:r w:rsidRPr="00464FAF">
              <w:rPr>
                <w:rFonts w:ascii="Century Gothic" w:hAnsi="Century Gothic"/>
                <w:b/>
                <w:bCs/>
                <w:sz w:val="16"/>
                <w:szCs w:val="16"/>
                <w:lang w:eastAsia="it-IT"/>
              </w:rPr>
              <w:t>Grecia</w:t>
            </w:r>
          </w:p>
        </w:tc>
        <w:tc>
          <w:tcPr>
            <w:tcW w:w="580"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1,577</w:t>
            </w:r>
          </w:p>
        </w:tc>
        <w:tc>
          <w:tcPr>
            <w:tcW w:w="797" w:type="pct"/>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sidRPr="00464FAF">
              <w:rPr>
                <w:rFonts w:ascii="Century Gothic" w:hAnsi="Century Gothic"/>
                <w:b/>
                <w:bCs/>
                <w:sz w:val="16"/>
                <w:szCs w:val="16"/>
                <w:lang w:eastAsia="it-IT"/>
              </w:rPr>
              <w:t>74,2</w:t>
            </w:r>
          </w:p>
        </w:tc>
        <w:tc>
          <w:tcPr>
            <w:tcW w:w="1087"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1,208</w:t>
            </w:r>
          </w:p>
        </w:tc>
        <w:tc>
          <w:tcPr>
            <w:tcW w:w="1340" w:type="pct"/>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Pr="00464FAF" w:rsidRDefault="00464FAF" w:rsidP="00464FAF">
            <w:pPr>
              <w:spacing w:line="253" w:lineRule="atLeast"/>
              <w:ind w:right="72"/>
              <w:jc w:val="right"/>
              <w:rPr>
                <w:rFonts w:ascii="Century Gothic" w:hAnsi="Century Gothic"/>
                <w:b/>
                <w:bCs/>
                <w:sz w:val="16"/>
                <w:szCs w:val="16"/>
                <w:lang w:eastAsia="it-IT"/>
              </w:rPr>
            </w:pPr>
            <w:r>
              <w:rPr>
                <w:rFonts w:ascii="Century Gothic" w:hAnsi="Century Gothic"/>
                <w:b/>
                <w:bCs/>
                <w:sz w:val="16"/>
                <w:szCs w:val="16"/>
                <w:lang w:eastAsia="it-IT"/>
              </w:rPr>
              <w:t>2,125</w:t>
            </w:r>
          </w:p>
        </w:tc>
      </w:tr>
    </w:tbl>
    <w:p w:rsidR="00464FAF" w:rsidRDefault="00464FAF" w:rsidP="00464FAF">
      <w:pPr>
        <w:jc w:val="center"/>
        <w:rPr>
          <w:rFonts w:ascii="Century Gothic" w:hAnsi="Century Gothic"/>
          <w:b/>
          <w:bCs/>
          <w:color w:val="002060"/>
          <w:sz w:val="16"/>
          <w:szCs w:val="16"/>
          <w:lang w:eastAsia="it-IT"/>
        </w:rPr>
      </w:pPr>
    </w:p>
    <w:p w:rsidR="00464FAF" w:rsidRDefault="00464FAF" w:rsidP="00464FAF">
      <w:pPr>
        <w:jc w:val="center"/>
        <w:rPr>
          <w:rFonts w:ascii="Century Gothic" w:hAnsi="Century Gothic"/>
          <w:b/>
          <w:bCs/>
          <w:color w:val="002060"/>
          <w:sz w:val="16"/>
          <w:szCs w:val="16"/>
          <w:lang w:eastAsia="it-IT"/>
        </w:rPr>
      </w:pPr>
    </w:p>
    <w:p w:rsidR="00464FAF" w:rsidRDefault="00464FAF" w:rsidP="00464FAF">
      <w:pPr>
        <w:jc w:val="center"/>
        <w:rPr>
          <w:rFonts w:ascii="Century Gothic" w:hAnsi="Century Gothic"/>
          <w:b/>
          <w:bCs/>
          <w:color w:val="002060"/>
          <w:sz w:val="16"/>
          <w:szCs w:val="16"/>
          <w:lang w:eastAsia="it-IT"/>
        </w:rPr>
      </w:pPr>
    </w:p>
    <w:p w:rsidR="00464FAF" w:rsidRDefault="00464FAF" w:rsidP="00464FAF">
      <w:pPr>
        <w:jc w:val="center"/>
        <w:rPr>
          <w:rFonts w:ascii="Century Gothic" w:hAnsi="Century Gothic"/>
          <w:color w:val="000000"/>
          <w:sz w:val="16"/>
          <w:szCs w:val="16"/>
          <w:lang w:eastAsia="it-IT"/>
        </w:rPr>
      </w:pPr>
      <w:r>
        <w:rPr>
          <w:rFonts w:ascii="Century Gothic" w:hAnsi="Century Gothic"/>
          <w:b/>
          <w:bCs/>
          <w:color w:val="002060"/>
          <w:sz w:val="16"/>
          <w:szCs w:val="16"/>
          <w:lang w:eastAsia="it-IT"/>
        </w:rPr>
        <w:t>Comparazione del prezzo del gasolio in funzione della Capacità di spesa</w:t>
      </w:r>
    </w:p>
    <w:p w:rsidR="00464FAF" w:rsidRDefault="00464FAF" w:rsidP="00464FAF">
      <w:pPr>
        <w:spacing w:after="200" w:line="253" w:lineRule="atLeast"/>
        <w:jc w:val="center"/>
        <w:rPr>
          <w:rFonts w:ascii="Century Gothic" w:hAnsi="Century Gothic"/>
          <w:color w:val="000000"/>
          <w:sz w:val="16"/>
          <w:szCs w:val="16"/>
          <w:lang w:eastAsia="it-IT"/>
        </w:rPr>
      </w:pPr>
      <w:r>
        <w:rPr>
          <w:rFonts w:ascii="Century Gothic" w:hAnsi="Century Gothic"/>
          <w:b/>
          <w:bCs/>
          <w:color w:val="002060"/>
          <w:sz w:val="16"/>
          <w:szCs w:val="16"/>
          <w:lang w:eastAsia="it-IT"/>
        </w:rPr>
        <w:t>(prezzo alla pompa rilevato da CE Dir. Generale Energia inizio 7-2015). </w:t>
      </w:r>
      <w:hyperlink r:id="rId8" w:history="1">
        <w:r>
          <w:rPr>
            <w:rStyle w:val="Collegamentoipertestuale"/>
            <w:rFonts w:eastAsiaTheme="minorHAnsi"/>
            <w:b/>
            <w:bCs/>
            <w:color w:val="auto"/>
            <w:sz w:val="16"/>
            <w:szCs w:val="16"/>
            <w:lang w:eastAsia="it-IT"/>
          </w:rPr>
          <w:t>Elaborazioni M. Novelli</w:t>
        </w:r>
      </w:hyperlink>
      <w:r>
        <w:rPr>
          <w:rFonts w:ascii="Century Gothic" w:hAnsi="Century Gothic"/>
          <w:b/>
          <w:bCs/>
          <w:color w:val="000000"/>
          <w:sz w:val="16"/>
          <w:szCs w:val="16"/>
          <w:lang w:eastAsia="it-IT"/>
        </w:rPr>
        <w:t xml:space="preserve"> per Adusbef</w:t>
      </w:r>
    </w:p>
    <w:tbl>
      <w:tblPr>
        <w:tblW w:w="0" w:type="auto"/>
        <w:jc w:val="center"/>
        <w:tblInd w:w="-433" w:type="dxa"/>
        <w:tblCellMar>
          <w:left w:w="0" w:type="dxa"/>
          <w:right w:w="0" w:type="dxa"/>
        </w:tblCellMar>
        <w:tblLook w:val="04A0" w:firstRow="1" w:lastRow="0" w:firstColumn="1" w:lastColumn="0" w:noHBand="0" w:noVBand="1"/>
      </w:tblPr>
      <w:tblGrid>
        <w:gridCol w:w="1455"/>
        <w:gridCol w:w="1238"/>
        <w:gridCol w:w="1134"/>
        <w:gridCol w:w="2405"/>
        <w:gridCol w:w="2405"/>
      </w:tblGrid>
      <w:tr w:rsidR="00464FAF" w:rsidTr="00464FAF">
        <w:trPr>
          <w:trHeight w:val="930"/>
          <w:jc w:val="center"/>
        </w:trPr>
        <w:tc>
          <w:tcPr>
            <w:tcW w:w="1455" w:type="dxa"/>
            <w:tcBorders>
              <w:top w:val="single" w:sz="8" w:space="0" w:color="auto"/>
              <w:left w:val="single" w:sz="8" w:space="0" w:color="auto"/>
              <w:bottom w:val="single" w:sz="8" w:space="0" w:color="auto"/>
              <w:right w:val="single" w:sz="8" w:space="0" w:color="auto"/>
            </w:tcBorders>
            <w:shd w:val="clear" w:color="auto" w:fill="76923C"/>
            <w:tcMar>
              <w:top w:w="0" w:type="dxa"/>
              <w:left w:w="70" w:type="dxa"/>
              <w:bottom w:w="0" w:type="dxa"/>
              <w:right w:w="70" w:type="dxa"/>
            </w:tcMar>
            <w:hideMark/>
          </w:tcPr>
          <w:p w:rsidR="00464FAF" w:rsidRDefault="00464FAF">
            <w:pPr>
              <w:spacing w:line="253" w:lineRule="atLeast"/>
              <w:ind w:right="-568"/>
              <w:rPr>
                <w:rFonts w:ascii="Century Gothic" w:hAnsi="Century Gothic"/>
                <w:sz w:val="16"/>
                <w:szCs w:val="16"/>
                <w:lang w:eastAsia="it-IT"/>
              </w:rPr>
            </w:pPr>
            <w:r>
              <w:rPr>
                <w:rFonts w:ascii="Century Gothic" w:hAnsi="Century Gothic"/>
                <w:b/>
                <w:bCs/>
                <w:color w:val="FFFFFF"/>
                <w:sz w:val="16"/>
                <w:szCs w:val="16"/>
                <w:lang w:eastAsia="it-IT"/>
              </w:rPr>
              <w:t> </w:t>
            </w:r>
          </w:p>
        </w:tc>
        <w:tc>
          <w:tcPr>
            <w:tcW w:w="1238" w:type="dxa"/>
            <w:tcBorders>
              <w:top w:val="single" w:sz="8" w:space="0" w:color="auto"/>
              <w:left w:val="nil"/>
              <w:bottom w:val="single" w:sz="8" w:space="0" w:color="auto"/>
              <w:right w:val="single" w:sz="8" w:space="0" w:color="auto"/>
            </w:tcBorders>
            <w:shd w:val="clear" w:color="auto" w:fill="76923C"/>
            <w:noWrap/>
            <w:tcMar>
              <w:top w:w="0" w:type="dxa"/>
              <w:left w:w="70" w:type="dxa"/>
              <w:bottom w:w="0" w:type="dxa"/>
              <w:right w:w="70" w:type="dxa"/>
            </w:tcMar>
            <w:hideMark/>
          </w:tcPr>
          <w:p w:rsidR="00464FAF" w:rsidRDefault="00464FAF">
            <w:pPr>
              <w:ind w:right="72"/>
              <w:jc w:val="center"/>
              <w:rPr>
                <w:rFonts w:ascii="Century Gothic" w:hAnsi="Century Gothic"/>
                <w:sz w:val="16"/>
                <w:szCs w:val="16"/>
                <w:lang w:eastAsia="it-IT"/>
              </w:rPr>
            </w:pPr>
            <w:r>
              <w:rPr>
                <w:rFonts w:ascii="Century Gothic" w:hAnsi="Century Gothic"/>
                <w:b/>
                <w:bCs/>
                <w:color w:val="FFFFFF"/>
                <w:sz w:val="16"/>
                <w:szCs w:val="16"/>
                <w:lang w:eastAsia="it-IT"/>
              </w:rPr>
              <w:t>costo</w:t>
            </w:r>
          </w:p>
          <w:p w:rsidR="00464FAF" w:rsidRDefault="00464FAF">
            <w:pPr>
              <w:ind w:right="72"/>
              <w:jc w:val="center"/>
              <w:rPr>
                <w:rFonts w:ascii="Century Gothic" w:hAnsi="Century Gothic"/>
                <w:sz w:val="16"/>
                <w:szCs w:val="16"/>
                <w:lang w:eastAsia="it-IT"/>
              </w:rPr>
            </w:pPr>
            <w:r>
              <w:rPr>
                <w:rFonts w:ascii="Century Gothic" w:hAnsi="Century Gothic"/>
                <w:b/>
                <w:bCs/>
                <w:color w:val="FFFFFF"/>
                <w:sz w:val="16"/>
                <w:szCs w:val="16"/>
                <w:lang w:eastAsia="it-IT"/>
              </w:rPr>
              <w:t>di 1 litro</w:t>
            </w:r>
          </w:p>
          <w:p w:rsidR="00464FAF" w:rsidRDefault="00464FAF">
            <w:pPr>
              <w:ind w:right="72"/>
              <w:jc w:val="center"/>
              <w:rPr>
                <w:rFonts w:ascii="Century Gothic" w:hAnsi="Century Gothic"/>
                <w:sz w:val="16"/>
                <w:szCs w:val="16"/>
                <w:lang w:eastAsia="it-IT"/>
              </w:rPr>
            </w:pPr>
            <w:r>
              <w:rPr>
                <w:rFonts w:ascii="Century Gothic" w:hAnsi="Century Gothic"/>
                <w:b/>
                <w:bCs/>
                <w:color w:val="FFFFFF"/>
                <w:sz w:val="16"/>
                <w:szCs w:val="16"/>
                <w:lang w:eastAsia="it-IT"/>
              </w:rPr>
              <w:t>di gasolio</w:t>
            </w:r>
          </w:p>
        </w:tc>
        <w:tc>
          <w:tcPr>
            <w:tcW w:w="1134" w:type="dxa"/>
            <w:tcBorders>
              <w:top w:val="single" w:sz="8" w:space="0" w:color="auto"/>
              <w:left w:val="nil"/>
              <w:bottom w:val="single" w:sz="8" w:space="0" w:color="auto"/>
              <w:right w:val="single" w:sz="8" w:space="0" w:color="auto"/>
            </w:tcBorders>
            <w:shd w:val="clear" w:color="auto" w:fill="76923C"/>
            <w:noWrap/>
            <w:tcMar>
              <w:top w:w="0" w:type="dxa"/>
              <w:left w:w="70" w:type="dxa"/>
              <w:bottom w:w="0" w:type="dxa"/>
              <w:right w:w="70" w:type="dxa"/>
            </w:tcMar>
            <w:hideMark/>
          </w:tcPr>
          <w:p w:rsidR="00464FAF" w:rsidRDefault="00464FAF">
            <w:pPr>
              <w:ind w:right="72"/>
              <w:jc w:val="center"/>
              <w:rPr>
                <w:rFonts w:ascii="Century Gothic" w:hAnsi="Century Gothic"/>
                <w:sz w:val="16"/>
                <w:szCs w:val="16"/>
                <w:lang w:eastAsia="it-IT"/>
              </w:rPr>
            </w:pPr>
            <w:r>
              <w:rPr>
                <w:rFonts w:ascii="Century Gothic" w:hAnsi="Century Gothic"/>
                <w:b/>
                <w:bCs/>
                <w:color w:val="FFFFFF"/>
                <w:sz w:val="16"/>
                <w:szCs w:val="16"/>
                <w:lang w:eastAsia="it-IT"/>
              </w:rPr>
              <w:t>PIL  pro capite</w:t>
            </w:r>
          </w:p>
          <w:p w:rsidR="00464FAF" w:rsidRDefault="00464FAF">
            <w:pPr>
              <w:ind w:right="72"/>
              <w:jc w:val="center"/>
              <w:rPr>
                <w:rFonts w:ascii="Century Gothic" w:hAnsi="Century Gothic"/>
                <w:sz w:val="16"/>
                <w:szCs w:val="16"/>
                <w:lang w:eastAsia="it-IT"/>
              </w:rPr>
            </w:pPr>
            <w:r>
              <w:rPr>
                <w:rFonts w:ascii="Century Gothic" w:hAnsi="Century Gothic"/>
                <w:b/>
                <w:bCs/>
                <w:color w:val="FFFFFF"/>
                <w:sz w:val="16"/>
                <w:szCs w:val="16"/>
                <w:lang w:eastAsia="it-IT"/>
              </w:rPr>
              <w:t>in PPS 2014</w:t>
            </w:r>
          </w:p>
          <w:p w:rsidR="00464FAF" w:rsidRDefault="00464FAF">
            <w:pPr>
              <w:ind w:right="72"/>
              <w:jc w:val="center"/>
              <w:rPr>
                <w:rFonts w:ascii="Century Gothic" w:hAnsi="Century Gothic"/>
                <w:sz w:val="16"/>
                <w:szCs w:val="16"/>
                <w:lang w:eastAsia="it-IT"/>
              </w:rPr>
            </w:pPr>
            <w:r>
              <w:rPr>
                <w:rFonts w:ascii="Century Gothic" w:hAnsi="Century Gothic"/>
                <w:b/>
                <w:bCs/>
                <w:color w:val="FFFFFF"/>
                <w:sz w:val="16"/>
                <w:szCs w:val="16"/>
                <w:lang w:eastAsia="it-IT"/>
              </w:rPr>
              <w:t> </w:t>
            </w:r>
          </w:p>
          <w:p w:rsidR="00464FAF" w:rsidRDefault="00464FAF">
            <w:pPr>
              <w:ind w:right="72"/>
              <w:jc w:val="center"/>
              <w:rPr>
                <w:rFonts w:ascii="Century Gothic" w:hAnsi="Century Gothic"/>
                <w:sz w:val="16"/>
                <w:szCs w:val="16"/>
                <w:lang w:eastAsia="it-IT"/>
              </w:rPr>
            </w:pPr>
            <w:r>
              <w:rPr>
                <w:rFonts w:ascii="Century Gothic" w:hAnsi="Century Gothic"/>
                <w:b/>
                <w:bCs/>
                <w:color w:val="FFFFFF"/>
                <w:sz w:val="16"/>
                <w:szCs w:val="16"/>
                <w:lang w:eastAsia="it-IT"/>
              </w:rPr>
              <w:t>Italia=100</w:t>
            </w:r>
          </w:p>
        </w:tc>
        <w:tc>
          <w:tcPr>
            <w:tcW w:w="2405" w:type="dxa"/>
            <w:tcBorders>
              <w:top w:val="single" w:sz="8" w:space="0" w:color="auto"/>
              <w:left w:val="nil"/>
              <w:bottom w:val="single" w:sz="8" w:space="0" w:color="auto"/>
              <w:right w:val="single" w:sz="8" w:space="0" w:color="auto"/>
            </w:tcBorders>
            <w:shd w:val="clear" w:color="auto" w:fill="76923C"/>
            <w:noWrap/>
            <w:tcMar>
              <w:top w:w="0" w:type="dxa"/>
              <w:left w:w="70" w:type="dxa"/>
              <w:bottom w:w="0" w:type="dxa"/>
              <w:right w:w="70" w:type="dxa"/>
            </w:tcMar>
            <w:hideMark/>
          </w:tcPr>
          <w:p w:rsidR="00464FAF" w:rsidRDefault="00464FAF">
            <w:pPr>
              <w:ind w:right="72"/>
              <w:jc w:val="center"/>
              <w:rPr>
                <w:rFonts w:ascii="Century Gothic" w:hAnsi="Century Gothic"/>
                <w:sz w:val="16"/>
                <w:szCs w:val="16"/>
                <w:lang w:eastAsia="it-IT"/>
              </w:rPr>
            </w:pPr>
            <w:r>
              <w:rPr>
                <w:rFonts w:ascii="Century Gothic" w:hAnsi="Century Gothic"/>
                <w:b/>
                <w:bCs/>
                <w:color w:val="FFFFFF"/>
                <w:sz w:val="16"/>
                <w:szCs w:val="16"/>
                <w:lang w:eastAsia="it-IT"/>
              </w:rPr>
              <w:t>Per sopportare lo stesso peso economico soste-</w:t>
            </w:r>
            <w:proofErr w:type="spellStart"/>
            <w:r>
              <w:rPr>
                <w:rFonts w:ascii="Century Gothic" w:hAnsi="Century Gothic"/>
                <w:b/>
                <w:bCs/>
                <w:color w:val="FFFFFF"/>
                <w:sz w:val="16"/>
                <w:szCs w:val="16"/>
                <w:lang w:eastAsia="it-IT"/>
              </w:rPr>
              <w:t>nuto</w:t>
            </w:r>
            <w:proofErr w:type="spellEnd"/>
            <w:r>
              <w:rPr>
                <w:rFonts w:ascii="Century Gothic" w:hAnsi="Century Gothic"/>
                <w:b/>
                <w:bCs/>
                <w:color w:val="FFFFFF"/>
                <w:sz w:val="16"/>
                <w:szCs w:val="16"/>
                <w:lang w:eastAsia="it-IT"/>
              </w:rPr>
              <w:t> dal consumatore in Italia, nel paese X un litro di gasolio dovrebbe costare……</w:t>
            </w:r>
          </w:p>
        </w:tc>
        <w:tc>
          <w:tcPr>
            <w:tcW w:w="2405" w:type="dxa"/>
            <w:tcBorders>
              <w:top w:val="single" w:sz="8" w:space="0" w:color="auto"/>
              <w:left w:val="nil"/>
              <w:bottom w:val="single" w:sz="8" w:space="0" w:color="auto"/>
              <w:right w:val="single" w:sz="8" w:space="0" w:color="auto"/>
            </w:tcBorders>
            <w:shd w:val="clear" w:color="auto" w:fill="76923C"/>
            <w:noWrap/>
            <w:tcMar>
              <w:top w:w="0" w:type="dxa"/>
              <w:left w:w="70" w:type="dxa"/>
              <w:bottom w:w="0" w:type="dxa"/>
              <w:right w:w="70" w:type="dxa"/>
            </w:tcMar>
            <w:hideMark/>
          </w:tcPr>
          <w:p w:rsidR="00464FAF" w:rsidRDefault="00464FAF">
            <w:pPr>
              <w:ind w:right="204"/>
              <w:jc w:val="center"/>
              <w:rPr>
                <w:rFonts w:ascii="Century Gothic" w:hAnsi="Century Gothic"/>
                <w:sz w:val="16"/>
                <w:szCs w:val="16"/>
                <w:lang w:eastAsia="it-IT"/>
              </w:rPr>
            </w:pPr>
            <w:r>
              <w:rPr>
                <w:rFonts w:ascii="Century Gothic" w:hAnsi="Century Gothic"/>
                <w:b/>
                <w:bCs/>
                <w:color w:val="FFFFFF"/>
                <w:sz w:val="16"/>
                <w:szCs w:val="16"/>
                <w:lang w:eastAsia="it-IT"/>
              </w:rPr>
              <w:t>Per sopportare lo stesso peso economico sostenuto dal consumatore del paese X, in Italia un litro di gasolio dovrebbe costare…..</w:t>
            </w:r>
          </w:p>
        </w:tc>
      </w:tr>
      <w:tr w:rsidR="00464FAF" w:rsidTr="00464FAF">
        <w:trPr>
          <w:trHeight w:val="255"/>
          <w:jc w:val="center"/>
        </w:trPr>
        <w:tc>
          <w:tcPr>
            <w:tcW w:w="1455" w:type="dxa"/>
            <w:tcBorders>
              <w:top w:val="nil"/>
              <w:left w:val="single" w:sz="8" w:space="0" w:color="auto"/>
              <w:bottom w:val="single" w:sz="8" w:space="0" w:color="auto"/>
              <w:right w:val="single" w:sz="8" w:space="0" w:color="auto"/>
            </w:tcBorders>
            <w:shd w:val="clear" w:color="auto" w:fill="76923C"/>
            <w:noWrap/>
            <w:tcMar>
              <w:top w:w="0" w:type="dxa"/>
              <w:left w:w="70" w:type="dxa"/>
              <w:bottom w:w="0" w:type="dxa"/>
              <w:right w:w="70" w:type="dxa"/>
            </w:tcMar>
            <w:vAlign w:val="bottom"/>
            <w:hideMark/>
          </w:tcPr>
          <w:p w:rsidR="00464FAF" w:rsidRDefault="00464FAF">
            <w:pPr>
              <w:spacing w:line="253" w:lineRule="atLeast"/>
              <w:ind w:right="-568"/>
              <w:rPr>
                <w:rFonts w:ascii="Century Gothic" w:hAnsi="Century Gothic"/>
                <w:sz w:val="16"/>
                <w:szCs w:val="16"/>
                <w:lang w:eastAsia="it-IT"/>
              </w:rPr>
            </w:pPr>
            <w:r>
              <w:rPr>
                <w:rFonts w:ascii="Century Gothic" w:hAnsi="Century Gothic"/>
                <w:b/>
                <w:bCs/>
                <w:color w:val="FFFFFF"/>
                <w:sz w:val="16"/>
                <w:szCs w:val="16"/>
                <w:lang w:eastAsia="it-IT"/>
              </w:rPr>
              <w:t>Francia</w:t>
            </w:r>
          </w:p>
        </w:tc>
        <w:tc>
          <w:tcPr>
            <w:tcW w:w="1238"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1,205</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sz w:val="16"/>
                <w:szCs w:val="16"/>
                <w:lang w:eastAsia="it-IT"/>
              </w:rPr>
              <w:t>110,3</w:t>
            </w:r>
          </w:p>
        </w:tc>
        <w:tc>
          <w:tcPr>
            <w:tcW w:w="2405" w:type="dxa"/>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1,614</w:t>
            </w:r>
          </w:p>
        </w:tc>
        <w:tc>
          <w:tcPr>
            <w:tcW w:w="2405" w:type="dxa"/>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Default="00464FAF">
            <w:pPr>
              <w:spacing w:line="253" w:lineRule="atLeast"/>
              <w:ind w:right="204"/>
              <w:jc w:val="right"/>
              <w:rPr>
                <w:rFonts w:ascii="Century Gothic" w:hAnsi="Century Gothic"/>
                <w:sz w:val="16"/>
                <w:szCs w:val="16"/>
                <w:lang w:eastAsia="it-IT"/>
              </w:rPr>
            </w:pPr>
            <w:r>
              <w:rPr>
                <w:rFonts w:ascii="Century Gothic" w:hAnsi="Century Gothic"/>
                <w:b/>
                <w:bCs/>
                <w:sz w:val="16"/>
                <w:szCs w:val="16"/>
                <w:lang w:eastAsia="it-IT"/>
              </w:rPr>
              <w:t>1,092</w:t>
            </w:r>
          </w:p>
        </w:tc>
      </w:tr>
      <w:tr w:rsidR="00464FAF" w:rsidTr="00464FAF">
        <w:trPr>
          <w:trHeight w:val="255"/>
          <w:jc w:val="center"/>
        </w:trPr>
        <w:tc>
          <w:tcPr>
            <w:tcW w:w="1455" w:type="dxa"/>
            <w:tcBorders>
              <w:top w:val="nil"/>
              <w:left w:val="single" w:sz="8" w:space="0" w:color="auto"/>
              <w:bottom w:val="single" w:sz="8" w:space="0" w:color="auto"/>
              <w:right w:val="single" w:sz="8" w:space="0" w:color="auto"/>
            </w:tcBorders>
            <w:shd w:val="clear" w:color="auto" w:fill="76923C"/>
            <w:noWrap/>
            <w:tcMar>
              <w:top w:w="0" w:type="dxa"/>
              <w:left w:w="70" w:type="dxa"/>
              <w:bottom w:w="0" w:type="dxa"/>
              <w:right w:w="70" w:type="dxa"/>
            </w:tcMar>
            <w:vAlign w:val="bottom"/>
            <w:hideMark/>
          </w:tcPr>
          <w:p w:rsidR="00464FAF" w:rsidRDefault="00464FAF">
            <w:pPr>
              <w:spacing w:line="253" w:lineRule="atLeast"/>
              <w:ind w:right="-568"/>
              <w:rPr>
                <w:rFonts w:ascii="Century Gothic" w:hAnsi="Century Gothic"/>
                <w:sz w:val="16"/>
                <w:szCs w:val="16"/>
                <w:lang w:eastAsia="it-IT"/>
              </w:rPr>
            </w:pPr>
            <w:r>
              <w:rPr>
                <w:rFonts w:ascii="Century Gothic" w:hAnsi="Century Gothic"/>
                <w:b/>
                <w:bCs/>
                <w:color w:val="FFFFFF"/>
                <w:sz w:val="16"/>
                <w:szCs w:val="16"/>
                <w:lang w:eastAsia="it-IT"/>
              </w:rPr>
              <w:t>Germania</w:t>
            </w:r>
          </w:p>
        </w:tc>
        <w:tc>
          <w:tcPr>
            <w:tcW w:w="1238"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1,241</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sz w:val="16"/>
                <w:szCs w:val="16"/>
                <w:lang w:eastAsia="it-IT"/>
              </w:rPr>
              <w:t>127,8</w:t>
            </w:r>
          </w:p>
        </w:tc>
        <w:tc>
          <w:tcPr>
            <w:tcW w:w="2405" w:type="dxa"/>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1,871</w:t>
            </w:r>
          </w:p>
        </w:tc>
        <w:tc>
          <w:tcPr>
            <w:tcW w:w="2405" w:type="dxa"/>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Default="00464FAF">
            <w:pPr>
              <w:spacing w:line="253" w:lineRule="atLeast"/>
              <w:ind w:right="204"/>
              <w:jc w:val="right"/>
              <w:rPr>
                <w:rFonts w:ascii="Century Gothic" w:hAnsi="Century Gothic"/>
                <w:sz w:val="16"/>
                <w:szCs w:val="16"/>
                <w:lang w:eastAsia="it-IT"/>
              </w:rPr>
            </w:pPr>
            <w:r>
              <w:rPr>
                <w:rFonts w:ascii="Century Gothic" w:hAnsi="Century Gothic"/>
                <w:b/>
                <w:bCs/>
                <w:sz w:val="16"/>
                <w:szCs w:val="16"/>
                <w:lang w:eastAsia="it-IT"/>
              </w:rPr>
              <w:t>0,971</w:t>
            </w:r>
          </w:p>
        </w:tc>
      </w:tr>
      <w:tr w:rsidR="00464FAF" w:rsidTr="00464FAF">
        <w:trPr>
          <w:trHeight w:val="255"/>
          <w:jc w:val="center"/>
        </w:trPr>
        <w:tc>
          <w:tcPr>
            <w:tcW w:w="1455" w:type="dxa"/>
            <w:tcBorders>
              <w:top w:val="nil"/>
              <w:left w:val="single" w:sz="8" w:space="0" w:color="auto"/>
              <w:bottom w:val="single" w:sz="8" w:space="0" w:color="auto"/>
              <w:right w:val="single" w:sz="8" w:space="0" w:color="auto"/>
            </w:tcBorders>
            <w:shd w:val="clear" w:color="auto" w:fill="76923C"/>
            <w:noWrap/>
            <w:tcMar>
              <w:top w:w="0" w:type="dxa"/>
              <w:left w:w="70" w:type="dxa"/>
              <w:bottom w:w="0" w:type="dxa"/>
              <w:right w:w="70" w:type="dxa"/>
            </w:tcMar>
            <w:vAlign w:val="bottom"/>
            <w:hideMark/>
          </w:tcPr>
          <w:p w:rsidR="00464FAF" w:rsidRDefault="00464FAF">
            <w:pPr>
              <w:spacing w:line="253" w:lineRule="atLeast"/>
              <w:ind w:right="-568"/>
              <w:rPr>
                <w:rFonts w:ascii="Century Gothic" w:hAnsi="Century Gothic"/>
                <w:sz w:val="16"/>
                <w:szCs w:val="16"/>
                <w:lang w:eastAsia="it-IT"/>
              </w:rPr>
            </w:pPr>
            <w:r>
              <w:rPr>
                <w:rFonts w:ascii="Century Gothic" w:hAnsi="Century Gothic"/>
                <w:b/>
                <w:bCs/>
                <w:color w:val="FFFFFF"/>
                <w:sz w:val="16"/>
                <w:szCs w:val="16"/>
                <w:lang w:eastAsia="it-IT"/>
              </w:rPr>
              <w:t>Italia</w:t>
            </w:r>
          </w:p>
        </w:tc>
        <w:tc>
          <w:tcPr>
            <w:tcW w:w="1238"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color w:val="C00000"/>
                <w:sz w:val="16"/>
                <w:szCs w:val="16"/>
                <w:lang w:eastAsia="it-IT"/>
              </w:rPr>
              <w:t>1,464</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color w:val="C00000"/>
                <w:sz w:val="16"/>
                <w:szCs w:val="16"/>
                <w:lang w:eastAsia="it-IT"/>
              </w:rPr>
              <w:t>100</w:t>
            </w:r>
          </w:p>
        </w:tc>
        <w:tc>
          <w:tcPr>
            <w:tcW w:w="2405" w:type="dxa"/>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w:t>
            </w:r>
          </w:p>
        </w:tc>
        <w:tc>
          <w:tcPr>
            <w:tcW w:w="2405" w:type="dxa"/>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Default="00464FAF">
            <w:pPr>
              <w:spacing w:line="253" w:lineRule="atLeast"/>
              <w:ind w:right="204"/>
              <w:jc w:val="right"/>
              <w:rPr>
                <w:rFonts w:ascii="Century Gothic" w:hAnsi="Century Gothic"/>
                <w:sz w:val="16"/>
                <w:szCs w:val="16"/>
                <w:lang w:eastAsia="it-IT"/>
              </w:rPr>
            </w:pPr>
            <w:r>
              <w:rPr>
                <w:rFonts w:ascii="Century Gothic" w:hAnsi="Century Gothic"/>
                <w:b/>
                <w:bCs/>
                <w:sz w:val="16"/>
                <w:szCs w:val="16"/>
                <w:lang w:eastAsia="it-IT"/>
              </w:rPr>
              <w:t>/////</w:t>
            </w:r>
          </w:p>
        </w:tc>
      </w:tr>
      <w:tr w:rsidR="00464FAF" w:rsidTr="00464FAF">
        <w:trPr>
          <w:trHeight w:val="255"/>
          <w:jc w:val="center"/>
        </w:trPr>
        <w:tc>
          <w:tcPr>
            <w:tcW w:w="1455" w:type="dxa"/>
            <w:tcBorders>
              <w:top w:val="nil"/>
              <w:left w:val="single" w:sz="8" w:space="0" w:color="auto"/>
              <w:bottom w:val="single" w:sz="8" w:space="0" w:color="auto"/>
              <w:right w:val="single" w:sz="8" w:space="0" w:color="auto"/>
            </w:tcBorders>
            <w:shd w:val="clear" w:color="auto" w:fill="76923C"/>
            <w:noWrap/>
            <w:tcMar>
              <w:top w:w="0" w:type="dxa"/>
              <w:left w:w="70" w:type="dxa"/>
              <w:bottom w:w="0" w:type="dxa"/>
              <w:right w:w="70" w:type="dxa"/>
            </w:tcMar>
            <w:vAlign w:val="bottom"/>
            <w:hideMark/>
          </w:tcPr>
          <w:p w:rsidR="00464FAF" w:rsidRDefault="00464FAF">
            <w:pPr>
              <w:spacing w:line="253" w:lineRule="atLeast"/>
              <w:ind w:right="-568"/>
              <w:rPr>
                <w:rFonts w:ascii="Century Gothic" w:hAnsi="Century Gothic"/>
                <w:sz w:val="16"/>
                <w:szCs w:val="16"/>
                <w:lang w:eastAsia="it-IT"/>
              </w:rPr>
            </w:pPr>
            <w:r>
              <w:rPr>
                <w:rFonts w:ascii="Century Gothic" w:hAnsi="Century Gothic"/>
                <w:b/>
                <w:bCs/>
                <w:color w:val="FFFFFF"/>
                <w:sz w:val="16"/>
                <w:szCs w:val="16"/>
                <w:lang w:eastAsia="it-IT"/>
              </w:rPr>
              <w:t>Spagna</w:t>
            </w:r>
          </w:p>
        </w:tc>
        <w:tc>
          <w:tcPr>
            <w:tcW w:w="1238"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1,177</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sz w:val="16"/>
                <w:szCs w:val="16"/>
                <w:lang w:eastAsia="it-IT"/>
              </w:rPr>
              <w:t>95,9</w:t>
            </w:r>
          </w:p>
        </w:tc>
        <w:tc>
          <w:tcPr>
            <w:tcW w:w="2405" w:type="dxa"/>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1,404</w:t>
            </w:r>
          </w:p>
        </w:tc>
        <w:tc>
          <w:tcPr>
            <w:tcW w:w="2405" w:type="dxa"/>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Default="00464FAF">
            <w:pPr>
              <w:spacing w:line="253" w:lineRule="atLeast"/>
              <w:ind w:right="204"/>
              <w:jc w:val="right"/>
              <w:rPr>
                <w:rFonts w:ascii="Century Gothic" w:hAnsi="Century Gothic"/>
                <w:sz w:val="16"/>
                <w:szCs w:val="16"/>
                <w:lang w:eastAsia="it-IT"/>
              </w:rPr>
            </w:pPr>
            <w:r>
              <w:rPr>
                <w:rFonts w:ascii="Century Gothic" w:hAnsi="Century Gothic"/>
                <w:b/>
                <w:bCs/>
                <w:sz w:val="16"/>
                <w:szCs w:val="16"/>
                <w:lang w:eastAsia="it-IT"/>
              </w:rPr>
              <w:t>1,227</w:t>
            </w:r>
          </w:p>
        </w:tc>
      </w:tr>
      <w:tr w:rsidR="00464FAF" w:rsidTr="00464FAF">
        <w:trPr>
          <w:trHeight w:val="255"/>
          <w:jc w:val="center"/>
        </w:trPr>
        <w:tc>
          <w:tcPr>
            <w:tcW w:w="1455" w:type="dxa"/>
            <w:tcBorders>
              <w:top w:val="nil"/>
              <w:left w:val="single" w:sz="8" w:space="0" w:color="auto"/>
              <w:bottom w:val="single" w:sz="8" w:space="0" w:color="auto"/>
              <w:right w:val="single" w:sz="8" w:space="0" w:color="auto"/>
            </w:tcBorders>
            <w:shd w:val="clear" w:color="auto" w:fill="76923C"/>
            <w:noWrap/>
            <w:tcMar>
              <w:top w:w="0" w:type="dxa"/>
              <w:left w:w="70" w:type="dxa"/>
              <w:bottom w:w="0" w:type="dxa"/>
              <w:right w:w="70" w:type="dxa"/>
            </w:tcMar>
            <w:vAlign w:val="bottom"/>
            <w:hideMark/>
          </w:tcPr>
          <w:p w:rsidR="00464FAF" w:rsidRDefault="00464FAF">
            <w:pPr>
              <w:spacing w:line="253" w:lineRule="atLeast"/>
              <w:ind w:right="-568"/>
              <w:rPr>
                <w:rFonts w:ascii="Century Gothic" w:hAnsi="Century Gothic"/>
                <w:sz w:val="16"/>
                <w:szCs w:val="16"/>
                <w:lang w:eastAsia="it-IT"/>
              </w:rPr>
            </w:pPr>
            <w:r>
              <w:rPr>
                <w:rFonts w:ascii="Century Gothic" w:hAnsi="Century Gothic"/>
                <w:b/>
                <w:bCs/>
                <w:color w:val="FFFFFF"/>
                <w:sz w:val="16"/>
                <w:szCs w:val="16"/>
                <w:lang w:eastAsia="it-IT"/>
              </w:rPr>
              <w:t>Regno Unito</w:t>
            </w:r>
          </w:p>
        </w:tc>
        <w:tc>
          <w:tcPr>
            <w:tcW w:w="1238"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1,708</w:t>
            </w:r>
          </w:p>
        </w:tc>
        <w:tc>
          <w:tcPr>
            <w:tcW w:w="113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sz w:val="16"/>
                <w:szCs w:val="16"/>
                <w:lang w:eastAsia="it-IT"/>
              </w:rPr>
              <w:t>111,3</w:t>
            </w:r>
          </w:p>
        </w:tc>
        <w:tc>
          <w:tcPr>
            <w:tcW w:w="2405" w:type="dxa"/>
            <w:tcBorders>
              <w:top w:val="nil"/>
              <w:left w:val="nil"/>
              <w:bottom w:val="single" w:sz="8" w:space="0" w:color="auto"/>
              <w:right w:val="single" w:sz="8" w:space="0" w:color="auto"/>
            </w:tcBorders>
            <w:shd w:val="clear" w:color="auto" w:fill="CCFFCC"/>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1,629</w:t>
            </w:r>
          </w:p>
        </w:tc>
        <w:tc>
          <w:tcPr>
            <w:tcW w:w="2405" w:type="dxa"/>
            <w:tcBorders>
              <w:top w:val="nil"/>
              <w:left w:val="nil"/>
              <w:bottom w:val="single" w:sz="8" w:space="0" w:color="auto"/>
              <w:right w:val="single" w:sz="8" w:space="0" w:color="auto"/>
            </w:tcBorders>
            <w:shd w:val="clear" w:color="auto" w:fill="DAEEF3"/>
            <w:noWrap/>
            <w:tcMar>
              <w:top w:w="0" w:type="dxa"/>
              <w:left w:w="70" w:type="dxa"/>
              <w:bottom w:w="0" w:type="dxa"/>
              <w:right w:w="70" w:type="dxa"/>
            </w:tcMar>
            <w:vAlign w:val="bottom"/>
            <w:hideMark/>
          </w:tcPr>
          <w:p w:rsidR="00464FAF" w:rsidRDefault="00464FAF">
            <w:pPr>
              <w:spacing w:line="253" w:lineRule="atLeast"/>
              <w:ind w:right="204"/>
              <w:jc w:val="right"/>
              <w:rPr>
                <w:rFonts w:ascii="Century Gothic" w:hAnsi="Century Gothic"/>
                <w:sz w:val="16"/>
                <w:szCs w:val="16"/>
                <w:lang w:eastAsia="it-IT"/>
              </w:rPr>
            </w:pPr>
            <w:r>
              <w:rPr>
                <w:rFonts w:ascii="Century Gothic" w:hAnsi="Century Gothic"/>
                <w:b/>
                <w:bCs/>
                <w:sz w:val="16"/>
                <w:szCs w:val="16"/>
                <w:lang w:eastAsia="it-IT"/>
              </w:rPr>
              <w:t>1,535</w:t>
            </w:r>
          </w:p>
        </w:tc>
      </w:tr>
      <w:tr w:rsidR="00464FAF" w:rsidTr="00464FAF">
        <w:trPr>
          <w:trHeight w:val="255"/>
          <w:jc w:val="center"/>
        </w:trPr>
        <w:tc>
          <w:tcPr>
            <w:tcW w:w="1455" w:type="dxa"/>
            <w:tcBorders>
              <w:top w:val="nil"/>
              <w:left w:val="single" w:sz="8" w:space="0" w:color="auto"/>
              <w:bottom w:val="single" w:sz="8" w:space="0" w:color="auto"/>
              <w:right w:val="single" w:sz="8" w:space="0" w:color="auto"/>
            </w:tcBorders>
            <w:shd w:val="clear" w:color="auto" w:fill="76923C"/>
            <w:noWrap/>
            <w:tcMar>
              <w:top w:w="0" w:type="dxa"/>
              <w:left w:w="70" w:type="dxa"/>
              <w:bottom w:w="0" w:type="dxa"/>
              <w:right w:w="70" w:type="dxa"/>
            </w:tcMar>
            <w:vAlign w:val="bottom"/>
            <w:hideMark/>
          </w:tcPr>
          <w:p w:rsidR="00464FAF" w:rsidRDefault="00464FAF">
            <w:pPr>
              <w:spacing w:line="253" w:lineRule="atLeast"/>
              <w:ind w:right="-568"/>
              <w:rPr>
                <w:rFonts w:ascii="Century Gothic" w:hAnsi="Century Gothic"/>
                <w:sz w:val="16"/>
                <w:szCs w:val="16"/>
                <w:lang w:eastAsia="it-IT"/>
              </w:rPr>
            </w:pPr>
            <w:r>
              <w:rPr>
                <w:rFonts w:ascii="Century Gothic" w:hAnsi="Century Gothic"/>
                <w:b/>
                <w:bCs/>
                <w:color w:val="FFFFFF"/>
                <w:sz w:val="16"/>
                <w:szCs w:val="16"/>
                <w:lang w:eastAsia="it-IT"/>
              </w:rPr>
              <w:t>Lussemburgo</w:t>
            </w:r>
          </w:p>
        </w:tc>
        <w:tc>
          <w:tcPr>
            <w:tcW w:w="123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1,07</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sz w:val="16"/>
                <w:szCs w:val="16"/>
                <w:lang w:eastAsia="it-IT"/>
              </w:rPr>
              <w:t>271,00</w:t>
            </w:r>
          </w:p>
        </w:tc>
        <w:tc>
          <w:tcPr>
            <w:tcW w:w="24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3,967</w:t>
            </w:r>
          </w:p>
        </w:tc>
        <w:tc>
          <w:tcPr>
            <w:tcW w:w="24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Default="00464FAF">
            <w:pPr>
              <w:spacing w:line="253" w:lineRule="atLeast"/>
              <w:ind w:right="204"/>
              <w:jc w:val="right"/>
              <w:rPr>
                <w:rFonts w:ascii="Century Gothic" w:hAnsi="Century Gothic"/>
                <w:sz w:val="16"/>
                <w:szCs w:val="16"/>
                <w:lang w:eastAsia="it-IT"/>
              </w:rPr>
            </w:pPr>
            <w:r>
              <w:rPr>
                <w:rFonts w:ascii="Century Gothic" w:hAnsi="Century Gothic"/>
                <w:b/>
                <w:bCs/>
                <w:sz w:val="16"/>
                <w:szCs w:val="16"/>
                <w:lang w:eastAsia="it-IT"/>
              </w:rPr>
              <w:t>0,396</w:t>
            </w:r>
          </w:p>
        </w:tc>
      </w:tr>
      <w:tr w:rsidR="00464FAF" w:rsidTr="00464FAF">
        <w:trPr>
          <w:trHeight w:val="255"/>
          <w:jc w:val="center"/>
        </w:trPr>
        <w:tc>
          <w:tcPr>
            <w:tcW w:w="1455" w:type="dxa"/>
            <w:tcBorders>
              <w:top w:val="nil"/>
              <w:left w:val="single" w:sz="8" w:space="0" w:color="auto"/>
              <w:bottom w:val="single" w:sz="8" w:space="0" w:color="auto"/>
              <w:right w:val="single" w:sz="8" w:space="0" w:color="auto"/>
            </w:tcBorders>
            <w:shd w:val="clear" w:color="auto" w:fill="76923C"/>
            <w:noWrap/>
            <w:tcMar>
              <w:top w:w="0" w:type="dxa"/>
              <w:left w:w="70" w:type="dxa"/>
              <w:bottom w:w="0" w:type="dxa"/>
              <w:right w:w="70" w:type="dxa"/>
            </w:tcMar>
            <w:vAlign w:val="bottom"/>
            <w:hideMark/>
          </w:tcPr>
          <w:p w:rsidR="00464FAF" w:rsidRDefault="00464FAF">
            <w:pPr>
              <w:spacing w:line="253" w:lineRule="atLeast"/>
              <w:ind w:right="-568"/>
              <w:rPr>
                <w:rFonts w:ascii="Century Gothic" w:hAnsi="Century Gothic"/>
                <w:sz w:val="16"/>
                <w:szCs w:val="16"/>
                <w:lang w:eastAsia="it-IT"/>
              </w:rPr>
            </w:pPr>
            <w:r>
              <w:rPr>
                <w:rFonts w:ascii="Century Gothic" w:hAnsi="Century Gothic"/>
                <w:b/>
                <w:bCs/>
                <w:color w:val="FFFFFF"/>
                <w:sz w:val="16"/>
                <w:szCs w:val="16"/>
                <w:lang w:eastAsia="it-IT"/>
              </w:rPr>
              <w:t>Grecia</w:t>
            </w:r>
          </w:p>
        </w:tc>
        <w:tc>
          <w:tcPr>
            <w:tcW w:w="1238"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1,238</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sz w:val="16"/>
                <w:szCs w:val="16"/>
                <w:lang w:eastAsia="it-IT"/>
              </w:rPr>
              <w:t>74,2</w:t>
            </w:r>
          </w:p>
        </w:tc>
        <w:tc>
          <w:tcPr>
            <w:tcW w:w="24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Default="00464FAF">
            <w:pPr>
              <w:spacing w:line="253" w:lineRule="atLeast"/>
              <w:ind w:right="72"/>
              <w:jc w:val="right"/>
              <w:rPr>
                <w:rFonts w:ascii="Century Gothic" w:hAnsi="Century Gothic"/>
                <w:sz w:val="16"/>
                <w:szCs w:val="16"/>
                <w:lang w:eastAsia="it-IT"/>
              </w:rPr>
            </w:pPr>
            <w:r>
              <w:rPr>
                <w:rFonts w:ascii="Century Gothic" w:hAnsi="Century Gothic"/>
                <w:b/>
                <w:bCs/>
                <w:sz w:val="16"/>
                <w:szCs w:val="16"/>
                <w:lang w:eastAsia="it-IT"/>
              </w:rPr>
              <w:t>1,086</w:t>
            </w:r>
          </w:p>
        </w:tc>
        <w:tc>
          <w:tcPr>
            <w:tcW w:w="2405"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464FAF" w:rsidRDefault="00464FAF">
            <w:pPr>
              <w:spacing w:line="253" w:lineRule="atLeast"/>
              <w:ind w:right="204"/>
              <w:jc w:val="right"/>
              <w:rPr>
                <w:rFonts w:ascii="Century Gothic" w:hAnsi="Century Gothic"/>
                <w:sz w:val="16"/>
                <w:szCs w:val="16"/>
                <w:lang w:eastAsia="it-IT"/>
              </w:rPr>
            </w:pPr>
            <w:r>
              <w:rPr>
                <w:rFonts w:ascii="Century Gothic" w:hAnsi="Century Gothic"/>
                <w:b/>
                <w:bCs/>
                <w:sz w:val="16"/>
                <w:szCs w:val="16"/>
                <w:lang w:eastAsia="it-IT"/>
              </w:rPr>
              <w:t>1,668</w:t>
            </w:r>
          </w:p>
        </w:tc>
      </w:tr>
    </w:tbl>
    <w:p w:rsidR="00464FAF" w:rsidRDefault="00464FAF" w:rsidP="00464FAF">
      <w:pPr>
        <w:jc w:val="both"/>
        <w:rPr>
          <w:lang w:eastAsia="it-IT"/>
        </w:rPr>
      </w:pPr>
    </w:p>
    <w:p w:rsidR="00464FAF" w:rsidRDefault="00464FAF" w:rsidP="00464FAF">
      <w:pPr>
        <w:jc w:val="both"/>
        <w:rPr>
          <w:lang w:eastAsia="it-IT"/>
        </w:rPr>
      </w:pPr>
      <w:r>
        <w:rPr>
          <w:lang w:eastAsia="it-IT"/>
        </w:rPr>
        <w:t>   Per restituire potere di acquisto alle famiglie rapinate da predatori pubblici e privati, che hanno perso il potere di acquisto al ritmo di oltre 1.100 euro l’anno, circa 12.100 euro dal 2003 al 2014, con un trasferimento massiccio di ricchezza di circa 296 miliardi in 11 anni, occorre l’armonizzazione fiscale per impedire il dumping tra i paesi dell’Eurozona, una revisione dei Trattati (Articolo 48 TUE (art.1)) che:”</w:t>
      </w:r>
      <w:r>
        <w:rPr>
          <w:i/>
          <w:iCs/>
          <w:lang w:eastAsia="it-IT"/>
        </w:rPr>
        <w:t xml:space="preserve"> possono essere modificati conformemente a una procedura di revisione ordinaria o semplificata. (2). Il governo di qualsiasi Stato membro, il Parlamento europeo o la Commissione possono sottoporre al Consiglio progetti intesi a modificare i trattati. Tali progetti possono, tra l'altro, essere intesi ad accrescere o a ridurre le competenze attribuite all'Unione nei trattati. Tali progetti sono trasmessi dal Consiglio al Consiglio europeo e notificati ai parlamenti nazionali</w:t>
      </w:r>
      <w:r>
        <w:rPr>
          <w:lang w:eastAsia="it-IT"/>
        </w:rPr>
        <w:t xml:space="preserve">. </w:t>
      </w:r>
    </w:p>
    <w:p w:rsidR="00464FAF" w:rsidRDefault="00464FAF" w:rsidP="00464FAF">
      <w:pPr>
        <w:jc w:val="both"/>
        <w:rPr>
          <w:lang w:eastAsia="it-IT"/>
        </w:rPr>
      </w:pPr>
      <w:r>
        <w:rPr>
          <w:lang w:eastAsia="it-IT"/>
        </w:rPr>
        <w:lastRenderedPageBreak/>
        <w:t xml:space="preserve">    Come si possono vedere anche da queste tabelle, le politiche di austerità imposte all’Italia dall’Europa, hanno prodotto un aumento del debito pubblico di + 302 miliardi di euro dal novembre 2011, ad un ritmo di 7,192 </w:t>
      </w:r>
      <w:proofErr w:type="spellStart"/>
      <w:r>
        <w:rPr>
          <w:lang w:eastAsia="it-IT"/>
        </w:rPr>
        <w:t>mld</w:t>
      </w:r>
      <w:proofErr w:type="spellEnd"/>
      <w:r>
        <w:rPr>
          <w:lang w:eastAsia="it-IT"/>
        </w:rPr>
        <w:t xml:space="preserve"> al mese, (anche per pagare alle banche di affari l’esposizione in derivati di 160 </w:t>
      </w:r>
      <w:proofErr w:type="spellStart"/>
      <w:r>
        <w:rPr>
          <w:lang w:eastAsia="it-IT"/>
        </w:rPr>
        <w:t>mld</w:t>
      </w:r>
      <w:proofErr w:type="spellEnd"/>
      <w:r>
        <w:rPr>
          <w:lang w:eastAsia="it-IT"/>
        </w:rPr>
        <w:t xml:space="preserve"> di euro, costati dal 2011 al 2014, oltre 16,9 </w:t>
      </w:r>
      <w:proofErr w:type="spellStart"/>
      <w:r>
        <w:rPr>
          <w:lang w:eastAsia="it-IT"/>
        </w:rPr>
        <w:t>mld</w:t>
      </w:r>
      <w:proofErr w:type="spellEnd"/>
      <w:r>
        <w:rPr>
          <w:lang w:eastAsia="it-IT"/>
        </w:rPr>
        <w:t xml:space="preserve"> di euro (Fonte </w:t>
      </w:r>
      <w:proofErr w:type="spellStart"/>
      <w:r>
        <w:rPr>
          <w:lang w:eastAsia="it-IT"/>
        </w:rPr>
        <w:t>Eurostat</w:t>
      </w:r>
      <w:proofErr w:type="spellEnd"/>
      <w:r>
        <w:rPr>
          <w:lang w:eastAsia="it-IT"/>
        </w:rPr>
        <w:t xml:space="preserve">), pari a 5.067 euro di tassa occulta gravante su ogni cittadino, ipotecato il  futuro di intere generazioni, aumentato pressione fiscale e disoccupazione, specie quella giovanile superiore al 41%, massacrato il ceto medio ed impoverito milioni di italiani.     </w:t>
      </w:r>
    </w:p>
    <w:p w:rsidR="00464FAF" w:rsidRDefault="00464FAF" w:rsidP="00464FAF">
      <w:pPr>
        <w:jc w:val="both"/>
        <w:rPr>
          <w:lang w:eastAsia="it-IT"/>
        </w:rPr>
      </w:pPr>
      <w:r>
        <w:rPr>
          <w:lang w:eastAsia="it-IT"/>
        </w:rPr>
        <w:t> </w:t>
      </w:r>
    </w:p>
    <w:p w:rsidR="00464FAF" w:rsidRDefault="00464FAF" w:rsidP="00464FAF">
      <w:pPr>
        <w:spacing w:after="200" w:line="330" w:lineRule="atLeast"/>
        <w:jc w:val="both"/>
        <w:rPr>
          <w:lang w:eastAsia="it-IT"/>
        </w:rPr>
      </w:pPr>
      <w:r>
        <w:rPr>
          <w:lang w:eastAsia="it-IT"/>
        </w:rPr>
        <w:t xml:space="preserve">                                                                       Elio Lannutti (Adusbef) – Rosario </w:t>
      </w:r>
      <w:proofErr w:type="spellStart"/>
      <w:r>
        <w:rPr>
          <w:lang w:eastAsia="it-IT"/>
        </w:rPr>
        <w:t>Trefiletti</w:t>
      </w:r>
      <w:proofErr w:type="spellEnd"/>
      <w:r>
        <w:rPr>
          <w:lang w:eastAsia="it-IT"/>
        </w:rPr>
        <w:t xml:space="preserve"> (Federconsumatori)</w:t>
      </w:r>
    </w:p>
    <w:p w:rsidR="00464FAF" w:rsidRDefault="00464FAF" w:rsidP="00464FAF">
      <w:pPr>
        <w:spacing w:after="200" w:line="276" w:lineRule="auto"/>
      </w:pPr>
      <w:r>
        <w:t>Roma, 17.7.2015</w:t>
      </w:r>
    </w:p>
    <w:p w:rsidR="009B5E7D" w:rsidRDefault="00464FAF"/>
    <w:sectPr w:rsidR="009B5E7D">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spaceForUL/>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FAF"/>
    <w:rsid w:val="000541E9"/>
    <w:rsid w:val="00076B7B"/>
    <w:rsid w:val="000F61A8"/>
    <w:rsid w:val="002757D2"/>
    <w:rsid w:val="00464FAF"/>
    <w:rsid w:val="00A15AC7"/>
    <w:rsid w:val="00AA2807"/>
    <w:rsid w:val="00D60A67"/>
    <w:rsid w:val="00F157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64FAF"/>
    <w:pPr>
      <w:spacing w:after="0" w:line="240" w:lineRule="auto"/>
      <w:jc w:val="left"/>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D60A67"/>
    <w:rPr>
      <w:rFonts w:ascii="Century Gothic" w:eastAsia="Times New Roman" w:hAnsi="Century Gothic" w:cstheme="minorBidi" w:hint="default"/>
      <w:b w:val="0"/>
      <w:bCs w:val="0"/>
      <w:i w:val="0"/>
      <w:iCs w:val="0"/>
      <w:strike w:val="0"/>
      <w:dstrike w:val="0"/>
      <w:color w:val="000066"/>
      <w:sz w:val="28"/>
      <w:szCs w:val="20"/>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64FAF"/>
    <w:pPr>
      <w:spacing w:after="0" w:line="240" w:lineRule="auto"/>
      <w:jc w:val="left"/>
    </w:pPr>
    <w:rPr>
      <w:rFonts w:ascii="Calibri" w:hAnsi="Calibri" w:cs="Times New Roma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qFormat/>
    <w:rsid w:val="00D60A67"/>
    <w:rPr>
      <w:rFonts w:ascii="Century Gothic" w:eastAsia="Times New Roman" w:hAnsi="Century Gothic" w:cstheme="minorBidi" w:hint="default"/>
      <w:b w:val="0"/>
      <w:bCs w:val="0"/>
      <w:i w:val="0"/>
      <w:iCs w:val="0"/>
      <w:strike w:val="0"/>
      <w:dstrike w:val="0"/>
      <w:color w:val="000066"/>
      <w:sz w:val="28"/>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uronovelli.it/" TargetMode="External"/><Relationship Id="rId3" Type="http://schemas.openxmlformats.org/officeDocument/2006/relationships/settings" Target="settings.xml"/><Relationship Id="rId7" Type="http://schemas.openxmlformats.org/officeDocument/2006/relationships/hyperlink" Target="http://www.mauronovelli.i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mauronovelli.it/" TargetMode="External"/><Relationship Id="rId5" Type="http://schemas.openxmlformats.org/officeDocument/2006/relationships/hyperlink" Target="http://www.mauronovelli.it/PuntO%20318%20GDP%20in%20PPS%207-7-2015.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ustin">
      <a:maj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1201</Words>
  <Characters>6852</Characters>
  <Application>Microsoft Office Word</Application>
  <DocSecurity>0</DocSecurity>
  <Lines>57</Lines>
  <Paragraphs>16</Paragraphs>
  <ScaleCrop>false</ScaleCrop>
  <Company/>
  <LinksUpToDate>false</LinksUpToDate>
  <CharactersWithSpaces>8037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Novelli</dc:creator>
  <cp:lastModifiedBy>Novelli</cp:lastModifiedBy>
  <cp:revision>1</cp:revision>
  <dcterms:created xsi:type="dcterms:W3CDTF">2015-07-17T11:29:00Z</dcterms:created>
  <dcterms:modified xsi:type="dcterms:W3CDTF">2015-07-17T11:31:00Z</dcterms:modified>
</cp:coreProperties>
</file>