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0F12" w:rsidRDefault="00AB0F12" w:rsidP="00AB0F12">
      <w:pPr>
        <w:jc w:val="center"/>
      </w:pPr>
      <w:r>
        <w:t>COMUNICATO STAMPA</w:t>
      </w:r>
    </w:p>
    <w:p w:rsidR="00AB0F12" w:rsidRDefault="00AB0F12" w:rsidP="00AB0F12">
      <w:pPr>
        <w:jc w:val="center"/>
      </w:pPr>
      <w:r>
        <w:t>BAD BANK:  PERCHE’ BANKITALIA AFFIDA APPALTO DI 379.500 EURO SENZA GARA A SOCIETA’ ESTERNA, PER  LA CONSULENZA SULLE SOFFERENZE ? NON SI FIDA FORSE DELLE PROPRIE STRUTTURE ? LUNEDI 18 PV CONVEGNO SU BAD BANK CAMERA DEPUTATI ORGANIZZATO DAL M5S, PER RIBADIRE NETTA OPPOSIZIONE “TRATTATIVA STATO BANCHE”.</w:t>
      </w:r>
    </w:p>
    <w:p w:rsidR="00AB0F12" w:rsidRDefault="00AB0F12" w:rsidP="00AB0F12">
      <w:pPr>
        <w:pStyle w:val="Nessunaspaziatura"/>
        <w:jc w:val="both"/>
        <w:rPr>
          <w:sz w:val="24"/>
          <w:szCs w:val="24"/>
        </w:rPr>
      </w:pPr>
      <w:r>
        <w:rPr>
          <w:sz w:val="24"/>
          <w:szCs w:val="24"/>
        </w:rPr>
        <w:t xml:space="preserve">   La Banca d’Italia, che dispone di circa 7.000 dipendenti  di prim’ordine ma ben pagati,  costati a fine 2013 ben 754.240.683 euro (599.069.455 euro di stipendi oltre 155.171.228 euro di contributi previdenziali), con un costo pro-capite lordo di 107.748 euro, che sta trattando con i sindacati una onerosa riduzione del personale, ha affidato a Boston </w:t>
      </w:r>
      <w:proofErr w:type="spellStart"/>
      <w:r>
        <w:rPr>
          <w:sz w:val="24"/>
          <w:szCs w:val="24"/>
        </w:rPr>
        <w:t>Consulting</w:t>
      </w:r>
      <w:proofErr w:type="spellEnd"/>
      <w:r>
        <w:rPr>
          <w:sz w:val="24"/>
          <w:szCs w:val="24"/>
        </w:rPr>
        <w:t xml:space="preserve"> Group un servizio di consulenza finalizzato alla costituzione di </w:t>
      </w:r>
      <w:r>
        <w:rPr>
          <w:i/>
          <w:iCs/>
          <w:sz w:val="24"/>
          <w:szCs w:val="24"/>
        </w:rPr>
        <w:t>un’</w:t>
      </w:r>
      <w:proofErr w:type="spellStart"/>
      <w:r>
        <w:rPr>
          <w:i/>
          <w:iCs/>
          <w:sz w:val="24"/>
          <w:szCs w:val="24"/>
        </w:rPr>
        <w:t>asset</w:t>
      </w:r>
      <w:proofErr w:type="spellEnd"/>
      <w:r>
        <w:rPr>
          <w:i/>
          <w:iCs/>
          <w:sz w:val="24"/>
          <w:szCs w:val="24"/>
        </w:rPr>
        <w:t xml:space="preserve"> management company</w:t>
      </w:r>
      <w:r>
        <w:rPr>
          <w:sz w:val="24"/>
          <w:szCs w:val="24"/>
        </w:rPr>
        <w:t xml:space="preserve"> per la gestione delle sofferenze bancarie, una </w:t>
      </w:r>
      <w:proofErr w:type="spellStart"/>
      <w:r>
        <w:rPr>
          <w:i/>
          <w:iCs/>
          <w:sz w:val="24"/>
          <w:szCs w:val="24"/>
        </w:rPr>
        <w:t>bad</w:t>
      </w:r>
      <w:proofErr w:type="spellEnd"/>
      <w:r>
        <w:rPr>
          <w:i/>
          <w:iCs/>
          <w:sz w:val="24"/>
          <w:szCs w:val="24"/>
        </w:rPr>
        <w:t xml:space="preserve"> </w:t>
      </w:r>
      <w:proofErr w:type="spellStart"/>
      <w:r>
        <w:rPr>
          <w:i/>
          <w:iCs/>
          <w:sz w:val="24"/>
          <w:szCs w:val="24"/>
        </w:rPr>
        <w:t>bank</w:t>
      </w:r>
      <w:proofErr w:type="spellEnd"/>
      <w:r>
        <w:rPr>
          <w:sz w:val="24"/>
          <w:szCs w:val="24"/>
        </w:rPr>
        <w:t xml:space="preserve"> le cui garanzie mandarini di Palazzo vorrebbero far gravare sul pubblico.</w:t>
      </w:r>
    </w:p>
    <w:p w:rsidR="00AB0F12" w:rsidRDefault="00AB0F12" w:rsidP="00AB0F12">
      <w:pPr>
        <w:pStyle w:val="Nessunaspaziatura"/>
        <w:jc w:val="both"/>
        <w:rPr>
          <w:sz w:val="24"/>
          <w:szCs w:val="24"/>
        </w:rPr>
      </w:pPr>
      <w:r>
        <w:rPr>
          <w:sz w:val="24"/>
          <w:szCs w:val="24"/>
        </w:rPr>
        <w:t xml:space="preserve">    L’incarico a Boston </w:t>
      </w:r>
      <w:proofErr w:type="spellStart"/>
      <w:r>
        <w:rPr>
          <w:sz w:val="24"/>
          <w:szCs w:val="24"/>
        </w:rPr>
        <w:t>Consulting</w:t>
      </w:r>
      <w:proofErr w:type="spellEnd"/>
      <w:r>
        <w:rPr>
          <w:sz w:val="24"/>
          <w:szCs w:val="24"/>
        </w:rPr>
        <w:t>, affidato senza gara, “con procedura negoziata per l’urgenza che caratterizza la definizione del progetto”, dal costo di 379.500 euro Iva esclusa, oltre a rappresentare uno sperpero di pubblico denaro che non rientra nelle disponibilità discrezionali del Governatore, appare uno smacco umiliante per le stesse strutture della Banca d’Italia, che dovrebbero essere in grado di sfornare consulenze molto più credibili di società private, specie in una fase negoziale di chiusura delle Filiali e riduzione del personale.</w:t>
      </w:r>
    </w:p>
    <w:p w:rsidR="00AB0F12" w:rsidRDefault="00AB0F12" w:rsidP="00AB0F12">
      <w:pPr>
        <w:pStyle w:val="Nessunaspaziatura"/>
        <w:jc w:val="both"/>
        <w:rPr>
          <w:sz w:val="24"/>
          <w:szCs w:val="24"/>
        </w:rPr>
      </w:pPr>
      <w:r>
        <w:rPr>
          <w:sz w:val="28"/>
          <w:szCs w:val="28"/>
        </w:rPr>
        <w:t xml:space="preserve">   </w:t>
      </w:r>
      <w:r>
        <w:rPr>
          <w:sz w:val="24"/>
          <w:szCs w:val="24"/>
        </w:rPr>
        <w:t xml:space="preserve">Adusbef e </w:t>
      </w:r>
      <w:proofErr w:type="spellStart"/>
      <w:r>
        <w:rPr>
          <w:sz w:val="24"/>
          <w:szCs w:val="24"/>
        </w:rPr>
        <w:t>Federconsumatori</w:t>
      </w:r>
      <w:proofErr w:type="spellEnd"/>
      <w:r>
        <w:rPr>
          <w:sz w:val="24"/>
          <w:szCs w:val="24"/>
        </w:rPr>
        <w:t xml:space="preserve">, che parteciperanno </w:t>
      </w:r>
      <w:proofErr w:type="spellStart"/>
      <w:r>
        <w:rPr>
          <w:sz w:val="24"/>
          <w:szCs w:val="24"/>
        </w:rPr>
        <w:t>lunedi</w:t>
      </w:r>
      <w:proofErr w:type="spellEnd"/>
      <w:r>
        <w:rPr>
          <w:sz w:val="24"/>
          <w:szCs w:val="24"/>
        </w:rPr>
        <w:t xml:space="preserve"> 18 maggio p.v. alle ore 18,00 al Convegno sulla </w:t>
      </w:r>
      <w:proofErr w:type="spellStart"/>
      <w:r>
        <w:rPr>
          <w:sz w:val="24"/>
          <w:szCs w:val="24"/>
        </w:rPr>
        <w:t>Bad</w:t>
      </w:r>
      <w:proofErr w:type="spellEnd"/>
      <w:r>
        <w:rPr>
          <w:sz w:val="24"/>
          <w:szCs w:val="24"/>
        </w:rPr>
        <w:t xml:space="preserve"> </w:t>
      </w:r>
      <w:proofErr w:type="spellStart"/>
      <w:r>
        <w:rPr>
          <w:sz w:val="24"/>
          <w:szCs w:val="24"/>
        </w:rPr>
        <w:t>Bank</w:t>
      </w:r>
      <w:proofErr w:type="spellEnd"/>
      <w:r>
        <w:rPr>
          <w:sz w:val="24"/>
          <w:szCs w:val="24"/>
        </w:rPr>
        <w:t xml:space="preserve"> promosso dal M5S della Camera dei Deputati, nel ribadire la loro netta contrarietà alla ‘trattativa Stato-Banche’, che forzando norme europee vorrebbe addossare alla fiscalità generale i fidi allegri e le spericolate concessioni del credito amicali di noti banchieri ad aziende già in decozione, con la diretta supervisione di </w:t>
      </w:r>
      <w:proofErr w:type="spellStart"/>
      <w:r>
        <w:rPr>
          <w:sz w:val="24"/>
          <w:szCs w:val="24"/>
        </w:rPr>
        <w:t>Bankitalia</w:t>
      </w:r>
      <w:proofErr w:type="spellEnd"/>
      <w:r>
        <w:rPr>
          <w:sz w:val="24"/>
          <w:szCs w:val="24"/>
        </w:rPr>
        <w:t xml:space="preserve"> il cui governatore, è oggi in prima linea nella richiesta di far pagare il conto al pubblico, si opporranno a tali scandalose soluzioni.</w:t>
      </w:r>
    </w:p>
    <w:p w:rsidR="00AB0F12" w:rsidRDefault="00AB0F12" w:rsidP="00AB0F12">
      <w:pPr>
        <w:pStyle w:val="Nessunaspaziatura"/>
        <w:jc w:val="both"/>
        <w:rPr>
          <w:sz w:val="24"/>
          <w:szCs w:val="24"/>
        </w:rPr>
      </w:pPr>
    </w:p>
    <w:p w:rsidR="00AB0F12" w:rsidRDefault="00AB0F12" w:rsidP="00AB0F12">
      <w:pPr>
        <w:spacing w:after="0" w:line="240" w:lineRule="auto"/>
        <w:jc w:val="center"/>
        <w:rPr>
          <w:b/>
          <w:bCs/>
          <w:sz w:val="24"/>
          <w:szCs w:val="24"/>
        </w:rPr>
      </w:pPr>
      <w:r>
        <w:rPr>
          <w:b/>
          <w:bCs/>
          <w:sz w:val="24"/>
          <w:szCs w:val="24"/>
        </w:rPr>
        <w:t xml:space="preserve">Sofferenze per branche  attività  clientela (Fonte: </w:t>
      </w:r>
      <w:proofErr w:type="spellStart"/>
      <w:r>
        <w:rPr>
          <w:b/>
          <w:bCs/>
          <w:sz w:val="24"/>
          <w:szCs w:val="24"/>
        </w:rPr>
        <w:t>Boll</w:t>
      </w:r>
      <w:proofErr w:type="spellEnd"/>
      <w:r>
        <w:rPr>
          <w:b/>
          <w:bCs/>
          <w:sz w:val="24"/>
          <w:szCs w:val="24"/>
        </w:rPr>
        <w:t xml:space="preserve">. Statistico </w:t>
      </w:r>
      <w:proofErr w:type="spellStart"/>
      <w:r>
        <w:rPr>
          <w:b/>
          <w:bCs/>
          <w:sz w:val="24"/>
          <w:szCs w:val="24"/>
        </w:rPr>
        <w:t>Bankitalia</w:t>
      </w:r>
      <w:proofErr w:type="spellEnd"/>
      <w:r>
        <w:rPr>
          <w:b/>
          <w:bCs/>
          <w:sz w:val="24"/>
          <w:szCs w:val="24"/>
        </w:rPr>
        <w:t xml:space="preserve"> 1/2015)  Centrale Rischi, In Miliardi di euro. </w:t>
      </w:r>
    </w:p>
    <w:p w:rsidR="00AB0F12" w:rsidRDefault="00AB0F12" w:rsidP="00AB0F12">
      <w:pPr>
        <w:spacing w:after="0" w:line="240" w:lineRule="auto"/>
        <w:jc w:val="center"/>
        <w:rPr>
          <w:b/>
          <w:bCs/>
        </w:rPr>
      </w:pPr>
    </w:p>
    <w:tbl>
      <w:tblPr>
        <w:tblW w:w="0" w:type="auto"/>
        <w:tblCellMar>
          <w:left w:w="0" w:type="dxa"/>
          <w:right w:w="0" w:type="dxa"/>
        </w:tblCellMar>
        <w:tblLook w:val="04A0" w:firstRow="1" w:lastRow="0" w:firstColumn="1" w:lastColumn="0" w:noHBand="0" w:noVBand="1"/>
      </w:tblPr>
      <w:tblGrid>
        <w:gridCol w:w="4786"/>
        <w:gridCol w:w="1701"/>
        <w:gridCol w:w="1418"/>
        <w:gridCol w:w="1873"/>
      </w:tblGrid>
      <w:tr w:rsidR="00AB0F12" w:rsidTr="00AB0F12">
        <w:tc>
          <w:tcPr>
            <w:tcW w:w="47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center"/>
              <w:rPr>
                <w:b/>
                <w:bCs/>
                <w:sz w:val="18"/>
                <w:szCs w:val="18"/>
              </w:rPr>
            </w:pPr>
            <w:r>
              <w:rPr>
                <w:b/>
                <w:bCs/>
                <w:sz w:val="18"/>
                <w:szCs w:val="18"/>
              </w:rPr>
              <w:t>SETTORE</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center"/>
              <w:rPr>
                <w:b/>
                <w:bCs/>
                <w:sz w:val="18"/>
                <w:szCs w:val="18"/>
              </w:rPr>
            </w:pPr>
            <w:r>
              <w:rPr>
                <w:b/>
                <w:bCs/>
                <w:sz w:val="18"/>
                <w:szCs w:val="18"/>
              </w:rPr>
              <w:t>NUMERO AFFIDATI</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center"/>
              <w:rPr>
                <w:b/>
                <w:bCs/>
                <w:sz w:val="18"/>
                <w:szCs w:val="18"/>
              </w:rPr>
            </w:pPr>
            <w:r>
              <w:rPr>
                <w:b/>
                <w:bCs/>
                <w:sz w:val="18"/>
                <w:szCs w:val="18"/>
              </w:rPr>
              <w:t>SOFFERENZE</w:t>
            </w:r>
          </w:p>
        </w:tc>
        <w:tc>
          <w:tcPr>
            <w:tcW w:w="18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center"/>
              <w:rPr>
                <w:b/>
                <w:bCs/>
                <w:sz w:val="18"/>
                <w:szCs w:val="18"/>
              </w:rPr>
            </w:pPr>
            <w:r>
              <w:rPr>
                <w:b/>
                <w:bCs/>
                <w:sz w:val="18"/>
                <w:szCs w:val="18"/>
              </w:rPr>
              <w:t>PERCENTUALE SUL TOTALE SOFFERENZE</w:t>
            </w:r>
          </w:p>
        </w:tc>
      </w:tr>
      <w:tr w:rsidR="00AB0F12" w:rsidTr="00AB0F12">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rPr>
                <w:sz w:val="18"/>
                <w:szCs w:val="18"/>
              </w:rPr>
            </w:pPr>
            <w:r>
              <w:rPr>
                <w:sz w:val="18"/>
                <w:szCs w:val="18"/>
              </w:rPr>
              <w:t>Agricoltura, silvicoltura e pesca</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17.776</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5,225</w:t>
            </w:r>
          </w:p>
        </w:tc>
        <w:tc>
          <w:tcPr>
            <w:tcW w:w="1873"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3,9 %</w:t>
            </w:r>
          </w:p>
        </w:tc>
      </w:tr>
      <w:tr w:rsidR="00AB0F12" w:rsidTr="00AB0F12">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rPr>
                <w:sz w:val="18"/>
                <w:szCs w:val="18"/>
              </w:rPr>
            </w:pPr>
            <w:r>
              <w:rPr>
                <w:sz w:val="18"/>
                <w:szCs w:val="18"/>
              </w:rPr>
              <w:t>Estrazione di minerali da cave e miniere</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522</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0,418</w:t>
            </w:r>
          </w:p>
        </w:tc>
        <w:tc>
          <w:tcPr>
            <w:tcW w:w="1873"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0,0003 %</w:t>
            </w:r>
          </w:p>
        </w:tc>
      </w:tr>
      <w:tr w:rsidR="00AB0F12" w:rsidTr="00AB0F12">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rPr>
                <w:sz w:val="18"/>
                <w:szCs w:val="18"/>
              </w:rPr>
            </w:pPr>
            <w:r>
              <w:rPr>
                <w:sz w:val="18"/>
                <w:szCs w:val="18"/>
              </w:rPr>
              <w:t>Industria manifatturiera</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64.982</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33,112</w:t>
            </w:r>
          </w:p>
        </w:tc>
        <w:tc>
          <w:tcPr>
            <w:tcW w:w="1873"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24,2 %</w:t>
            </w:r>
          </w:p>
        </w:tc>
      </w:tr>
      <w:tr w:rsidR="00AB0F12" w:rsidTr="00AB0F12">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rPr>
                <w:sz w:val="18"/>
                <w:szCs w:val="18"/>
              </w:rPr>
            </w:pPr>
            <w:r>
              <w:rPr>
                <w:sz w:val="18"/>
                <w:szCs w:val="18"/>
              </w:rPr>
              <w:t>Fornitura di energia elettrica, gas, vapore e aria condizionata</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239</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0,420</w:t>
            </w:r>
          </w:p>
        </w:tc>
        <w:tc>
          <w:tcPr>
            <w:tcW w:w="1873"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0,0003 %</w:t>
            </w:r>
          </w:p>
        </w:tc>
      </w:tr>
      <w:tr w:rsidR="00AB0F12" w:rsidTr="00AB0F12">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rPr>
                <w:sz w:val="18"/>
                <w:szCs w:val="18"/>
              </w:rPr>
            </w:pPr>
            <w:r>
              <w:rPr>
                <w:sz w:val="18"/>
                <w:szCs w:val="18"/>
              </w:rPr>
              <w:t>Fornitura di acqua: reti fognarie, gest.ne rifiuti e risanamento</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999</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0,730</w:t>
            </w:r>
          </w:p>
        </w:tc>
        <w:tc>
          <w:tcPr>
            <w:tcW w:w="1873"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0,0005 %</w:t>
            </w:r>
          </w:p>
        </w:tc>
      </w:tr>
      <w:tr w:rsidR="00AB0F12" w:rsidTr="00AB0F12">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rPr>
                <w:sz w:val="18"/>
                <w:szCs w:val="18"/>
              </w:rPr>
            </w:pPr>
            <w:r>
              <w:rPr>
                <w:sz w:val="18"/>
                <w:szCs w:val="18"/>
              </w:rPr>
              <w:t>Costruzioni</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83.412</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37,374</w:t>
            </w:r>
          </w:p>
        </w:tc>
        <w:tc>
          <w:tcPr>
            <w:tcW w:w="1873"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27,3 %</w:t>
            </w:r>
          </w:p>
        </w:tc>
      </w:tr>
      <w:tr w:rsidR="00AB0F12" w:rsidTr="00AB0F12">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rPr>
                <w:sz w:val="18"/>
                <w:szCs w:val="18"/>
              </w:rPr>
            </w:pPr>
            <w:r>
              <w:rPr>
                <w:sz w:val="18"/>
                <w:szCs w:val="18"/>
              </w:rPr>
              <w:t>Commercio: ingrosso e dettaglio; riparazione autoveicoli</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109.844</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23,259</w:t>
            </w:r>
          </w:p>
        </w:tc>
        <w:tc>
          <w:tcPr>
            <w:tcW w:w="1873"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17,0 %</w:t>
            </w:r>
          </w:p>
        </w:tc>
      </w:tr>
      <w:tr w:rsidR="00AB0F12" w:rsidTr="00AB0F12">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rPr>
                <w:sz w:val="18"/>
                <w:szCs w:val="18"/>
              </w:rPr>
            </w:pPr>
            <w:r>
              <w:rPr>
                <w:sz w:val="18"/>
                <w:szCs w:val="18"/>
              </w:rPr>
              <w:t>Trasporto e magazzinaggio</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16.823</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3,670</w:t>
            </w:r>
          </w:p>
        </w:tc>
        <w:tc>
          <w:tcPr>
            <w:tcW w:w="1873"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2,7 %</w:t>
            </w:r>
          </w:p>
        </w:tc>
      </w:tr>
      <w:tr w:rsidR="00AB0F12" w:rsidTr="00AB0F12">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rPr>
                <w:sz w:val="18"/>
                <w:szCs w:val="18"/>
              </w:rPr>
            </w:pPr>
            <w:r>
              <w:rPr>
                <w:sz w:val="18"/>
                <w:szCs w:val="18"/>
              </w:rPr>
              <w:t>Attività dei servizi di alloggio e di ristorazione</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34.455</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5,103</w:t>
            </w:r>
          </w:p>
        </w:tc>
        <w:tc>
          <w:tcPr>
            <w:tcW w:w="1873"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3,7 %</w:t>
            </w:r>
          </w:p>
        </w:tc>
      </w:tr>
      <w:tr w:rsidR="00AB0F12" w:rsidTr="00AB0F12">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rPr>
                <w:sz w:val="18"/>
                <w:szCs w:val="18"/>
              </w:rPr>
            </w:pPr>
            <w:r>
              <w:rPr>
                <w:sz w:val="18"/>
                <w:szCs w:val="18"/>
              </w:rPr>
              <w:t>Servizi di informazione e comunicazione</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7.230</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1,778</w:t>
            </w:r>
          </w:p>
        </w:tc>
        <w:tc>
          <w:tcPr>
            <w:tcW w:w="1873"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1,3 %</w:t>
            </w:r>
          </w:p>
        </w:tc>
      </w:tr>
      <w:tr w:rsidR="00AB0F12" w:rsidTr="00AB0F12">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rPr>
                <w:sz w:val="18"/>
                <w:szCs w:val="18"/>
              </w:rPr>
            </w:pPr>
            <w:r>
              <w:rPr>
                <w:sz w:val="18"/>
                <w:szCs w:val="18"/>
              </w:rPr>
              <w:t>Attività finanziarie e assicurative</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1.932</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0, 502</w:t>
            </w:r>
          </w:p>
        </w:tc>
        <w:tc>
          <w:tcPr>
            <w:tcW w:w="1873"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0,0003 %</w:t>
            </w:r>
          </w:p>
        </w:tc>
      </w:tr>
      <w:tr w:rsidR="00AB0F12" w:rsidTr="00AB0F12">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rPr>
                <w:sz w:val="18"/>
                <w:szCs w:val="18"/>
              </w:rPr>
            </w:pPr>
            <w:r>
              <w:rPr>
                <w:sz w:val="18"/>
                <w:szCs w:val="18"/>
              </w:rPr>
              <w:t>Attività immobiliari</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16.573</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16,484</w:t>
            </w:r>
          </w:p>
        </w:tc>
        <w:tc>
          <w:tcPr>
            <w:tcW w:w="1873"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12,0 %</w:t>
            </w:r>
          </w:p>
        </w:tc>
      </w:tr>
      <w:tr w:rsidR="00AB0F12" w:rsidTr="00AB0F12">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rPr>
                <w:sz w:val="18"/>
                <w:szCs w:val="18"/>
              </w:rPr>
            </w:pPr>
            <w:r>
              <w:rPr>
                <w:sz w:val="18"/>
                <w:szCs w:val="18"/>
              </w:rPr>
              <w:t>Attività professionali, scientifiche e tecniche</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12.408</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2,427</w:t>
            </w:r>
          </w:p>
        </w:tc>
        <w:tc>
          <w:tcPr>
            <w:tcW w:w="1873"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1,8 %</w:t>
            </w:r>
          </w:p>
        </w:tc>
      </w:tr>
      <w:tr w:rsidR="00AB0F12" w:rsidTr="00AB0F12">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rPr>
                <w:sz w:val="18"/>
                <w:szCs w:val="18"/>
              </w:rPr>
            </w:pPr>
            <w:r>
              <w:rPr>
                <w:sz w:val="18"/>
                <w:szCs w:val="18"/>
              </w:rPr>
              <w:t>Noleggio, agenzie di viaggio, servizi di supporto alle imprese</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14.224</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3,195</w:t>
            </w:r>
          </w:p>
        </w:tc>
        <w:tc>
          <w:tcPr>
            <w:tcW w:w="1873"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2,3 %</w:t>
            </w:r>
          </w:p>
        </w:tc>
      </w:tr>
      <w:tr w:rsidR="00AB0F12" w:rsidTr="00AB0F12">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rPr>
                <w:sz w:val="18"/>
                <w:szCs w:val="18"/>
              </w:rPr>
            </w:pPr>
            <w:r>
              <w:rPr>
                <w:sz w:val="18"/>
                <w:szCs w:val="18"/>
              </w:rPr>
              <w:t>Attività residuali (sezioni O, P, Q, R, S, T)</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16.140</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2,280</w:t>
            </w:r>
          </w:p>
        </w:tc>
        <w:tc>
          <w:tcPr>
            <w:tcW w:w="1873"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sz w:val="18"/>
                <w:szCs w:val="18"/>
              </w:rPr>
            </w:pPr>
            <w:r>
              <w:rPr>
                <w:sz w:val="18"/>
                <w:szCs w:val="18"/>
              </w:rPr>
              <w:t>1,7 %</w:t>
            </w:r>
          </w:p>
        </w:tc>
      </w:tr>
      <w:tr w:rsidR="00AB0F12" w:rsidTr="00AB0F12">
        <w:tc>
          <w:tcPr>
            <w:tcW w:w="478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rPr>
                <w:b/>
                <w:bCs/>
                <w:sz w:val="18"/>
                <w:szCs w:val="18"/>
              </w:rPr>
            </w:pPr>
            <w:r>
              <w:rPr>
                <w:b/>
                <w:bCs/>
                <w:sz w:val="18"/>
                <w:szCs w:val="18"/>
              </w:rPr>
              <w:t>TOTALE</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b/>
                <w:bCs/>
                <w:sz w:val="18"/>
                <w:szCs w:val="18"/>
              </w:rPr>
            </w:pPr>
            <w:r>
              <w:rPr>
                <w:b/>
                <w:bCs/>
                <w:sz w:val="18"/>
                <w:szCs w:val="18"/>
              </w:rPr>
              <w:t>406.528</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AB0F12" w:rsidRDefault="00AB0F12">
            <w:pPr>
              <w:spacing w:after="0" w:line="240" w:lineRule="auto"/>
              <w:jc w:val="right"/>
              <w:rPr>
                <w:b/>
                <w:bCs/>
                <w:sz w:val="18"/>
                <w:szCs w:val="18"/>
              </w:rPr>
            </w:pPr>
            <w:r>
              <w:rPr>
                <w:b/>
                <w:bCs/>
                <w:sz w:val="18"/>
                <w:szCs w:val="18"/>
              </w:rPr>
              <w:t>136,815</w:t>
            </w:r>
          </w:p>
        </w:tc>
        <w:tc>
          <w:tcPr>
            <w:tcW w:w="1873" w:type="dxa"/>
            <w:tcBorders>
              <w:top w:val="nil"/>
              <w:left w:val="nil"/>
              <w:bottom w:val="single" w:sz="8" w:space="0" w:color="auto"/>
              <w:right w:val="single" w:sz="8" w:space="0" w:color="auto"/>
            </w:tcBorders>
            <w:tcMar>
              <w:top w:w="0" w:type="dxa"/>
              <w:left w:w="108" w:type="dxa"/>
              <w:bottom w:w="0" w:type="dxa"/>
              <w:right w:w="108" w:type="dxa"/>
            </w:tcMar>
          </w:tcPr>
          <w:p w:rsidR="00AB0F12" w:rsidRDefault="00AB0F12">
            <w:pPr>
              <w:spacing w:after="0" w:line="240" w:lineRule="auto"/>
              <w:jc w:val="right"/>
              <w:rPr>
                <w:b/>
                <w:bCs/>
                <w:sz w:val="18"/>
                <w:szCs w:val="18"/>
              </w:rPr>
            </w:pPr>
          </w:p>
        </w:tc>
      </w:tr>
    </w:tbl>
    <w:p w:rsidR="00AB0F12" w:rsidRDefault="00AB0F12" w:rsidP="00AB0F12">
      <w:pPr>
        <w:spacing w:after="0" w:line="240" w:lineRule="auto"/>
        <w:jc w:val="both"/>
        <w:rPr>
          <w:rFonts w:ascii="Century Gothic" w:hAnsi="Century Gothic"/>
          <w:color w:val="002060"/>
        </w:rPr>
      </w:pPr>
    </w:p>
    <w:p w:rsidR="00AB0F12" w:rsidRDefault="00AB0F12" w:rsidP="00AB0F12">
      <w:pPr>
        <w:spacing w:after="0" w:line="240" w:lineRule="auto"/>
        <w:jc w:val="both"/>
      </w:pPr>
      <w:r>
        <w:t xml:space="preserve">Come si evince da questi dati, le sofferenze generate trovano al primo posto  il settore delle Costruzioni col 27,3% (37,374 </w:t>
      </w:r>
      <w:proofErr w:type="spellStart"/>
      <w:r>
        <w:t>mld</w:t>
      </w:r>
      <w:proofErr w:type="spellEnd"/>
      <w:r>
        <w:t xml:space="preserve">) dei 136,815 monitorati dalla Centrale dei Rischi, seguito dal Manifatturiero col 24,2 % (33,112 miliardi), il Commercio col 17% e le Attività immobiliari 12%. </w:t>
      </w:r>
    </w:p>
    <w:p w:rsidR="00AB0F12" w:rsidRDefault="00AB0F12" w:rsidP="00AB0F12">
      <w:pPr>
        <w:spacing w:after="0" w:line="240" w:lineRule="auto"/>
        <w:jc w:val="both"/>
        <w:rPr>
          <w:sz w:val="24"/>
          <w:szCs w:val="24"/>
        </w:rPr>
      </w:pPr>
      <w:r>
        <w:lastRenderedPageBreak/>
        <w:t xml:space="preserve">   Che le famiglie e gli utenti bancari, già saccheggiati dagli elevati costi dei servizi e strozzati dagli alti tassi  debbano pagare per gli errori dei banchieri i loro lauti </w:t>
      </w:r>
      <w:proofErr w:type="spellStart"/>
      <w:r>
        <w:t>pasti,è</w:t>
      </w:r>
      <w:proofErr w:type="spellEnd"/>
      <w:r>
        <w:t xml:space="preserve"> uno scandalo rilevato perfino dalla </w:t>
      </w:r>
      <w:r>
        <w:rPr>
          <w:sz w:val="24"/>
          <w:szCs w:val="24"/>
        </w:rPr>
        <w:t>direzione generale Concorrenza Ue che ha già bollato, come aiuti di Stato, qualsiasi intervento pubblico per aiutare gli istituti, anche se fosse solo sotto forma di garanzia.</w:t>
      </w:r>
    </w:p>
    <w:p w:rsidR="00AB0F12" w:rsidRDefault="00AB0F12" w:rsidP="00AB0F12">
      <w:pPr>
        <w:spacing w:after="0" w:line="240" w:lineRule="auto"/>
        <w:jc w:val="both"/>
        <w:rPr>
          <w:sz w:val="24"/>
          <w:szCs w:val="24"/>
        </w:rPr>
      </w:pPr>
      <w:r>
        <w:rPr>
          <w:sz w:val="24"/>
          <w:szCs w:val="24"/>
        </w:rPr>
        <w:t xml:space="preserve">                                                         </w:t>
      </w:r>
    </w:p>
    <w:p w:rsidR="00AB0F12" w:rsidRDefault="00AB0F12" w:rsidP="00AB0F12">
      <w:pPr>
        <w:spacing w:after="0" w:line="240" w:lineRule="auto"/>
        <w:jc w:val="both"/>
        <w:rPr>
          <w:sz w:val="24"/>
          <w:szCs w:val="24"/>
        </w:rPr>
      </w:pPr>
      <w:r>
        <w:rPr>
          <w:sz w:val="24"/>
          <w:szCs w:val="24"/>
        </w:rPr>
        <w:t>                       </w:t>
      </w:r>
      <w:r>
        <w:rPr>
          <w:sz w:val="24"/>
          <w:szCs w:val="24"/>
        </w:rPr>
        <w:t>                         </w:t>
      </w:r>
      <w:bookmarkStart w:id="0" w:name="_GoBack"/>
      <w:bookmarkEnd w:id="0"/>
      <w:r>
        <w:rPr>
          <w:sz w:val="24"/>
          <w:szCs w:val="24"/>
        </w:rPr>
        <w:t xml:space="preserve">     Elio Lannutti (Adusbef) – Rosario </w:t>
      </w:r>
      <w:proofErr w:type="spellStart"/>
      <w:r>
        <w:rPr>
          <w:sz w:val="24"/>
          <w:szCs w:val="24"/>
        </w:rPr>
        <w:t>Trefiletti</w:t>
      </w:r>
      <w:proofErr w:type="spellEnd"/>
      <w:r>
        <w:rPr>
          <w:sz w:val="24"/>
          <w:szCs w:val="24"/>
        </w:rPr>
        <w:t xml:space="preserve"> (</w:t>
      </w:r>
      <w:proofErr w:type="spellStart"/>
      <w:r>
        <w:rPr>
          <w:sz w:val="24"/>
          <w:szCs w:val="24"/>
        </w:rPr>
        <w:t>Federconsumatori</w:t>
      </w:r>
      <w:proofErr w:type="spellEnd"/>
      <w:r>
        <w:rPr>
          <w:sz w:val="24"/>
          <w:szCs w:val="24"/>
        </w:rPr>
        <w:t>)</w:t>
      </w:r>
    </w:p>
    <w:p w:rsidR="00AB0F12" w:rsidRDefault="00AB0F12" w:rsidP="00AB0F12">
      <w:pPr>
        <w:spacing w:after="0" w:line="240" w:lineRule="auto"/>
        <w:jc w:val="both"/>
        <w:rPr>
          <w:sz w:val="24"/>
          <w:szCs w:val="24"/>
        </w:rPr>
      </w:pPr>
      <w:r>
        <w:rPr>
          <w:sz w:val="24"/>
          <w:szCs w:val="24"/>
        </w:rPr>
        <w:t>Roma, 16.5.2015</w:t>
      </w:r>
    </w:p>
    <w:p w:rsidR="00AB0F12" w:rsidRDefault="00AB0F12" w:rsidP="00AB0F12"/>
    <w:p w:rsidR="009B5E7D" w:rsidRDefault="00AB0F12"/>
    <w:sectPr w:rsidR="009B5E7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2"/>
  <w:proofState w:spelling="clean"/>
  <w:defaultTabStop w:val="708"/>
  <w:hyphenationZone w:val="283"/>
  <w:characterSpacingControl w:val="doNotCompress"/>
  <w:compat>
    <w:spaceForUL/>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F12"/>
    <w:rsid w:val="000541E9"/>
    <w:rsid w:val="00076B7B"/>
    <w:rsid w:val="000F61A8"/>
    <w:rsid w:val="002757D2"/>
    <w:rsid w:val="00A15AC7"/>
    <w:rsid w:val="00AB0F12"/>
    <w:rsid w:val="00F157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B0F12"/>
    <w:pPr>
      <w:spacing w:line="276" w:lineRule="auto"/>
      <w:jc w:val="left"/>
    </w:pPr>
    <w:rPr>
      <w:rFonts w:ascii="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basedOn w:val="Normale"/>
    <w:uiPriority w:val="1"/>
    <w:qFormat/>
    <w:rsid w:val="00AB0F1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B0F12"/>
    <w:pPr>
      <w:spacing w:line="276" w:lineRule="auto"/>
      <w:jc w:val="left"/>
    </w:pPr>
    <w:rPr>
      <w:rFonts w:ascii="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basedOn w:val="Normale"/>
    <w:uiPriority w:val="1"/>
    <w:qFormat/>
    <w:rsid w:val="00AB0F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5718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ustin">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611</Words>
  <Characters>3487</Characters>
  <Application>Microsoft Office Word</Application>
  <DocSecurity>0</DocSecurity>
  <Lines>29</Lines>
  <Paragraphs>8</Paragraphs>
  <ScaleCrop>false</ScaleCrop>
  <Company/>
  <LinksUpToDate>false</LinksUpToDate>
  <CharactersWithSpaces>4090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Novelli</dc:creator>
  <cp:lastModifiedBy>Novelli</cp:lastModifiedBy>
  <cp:revision>1</cp:revision>
  <dcterms:created xsi:type="dcterms:W3CDTF">2015-05-16T16:54:00Z</dcterms:created>
  <dcterms:modified xsi:type="dcterms:W3CDTF">2015-05-16T16:57:00Z</dcterms:modified>
</cp:coreProperties>
</file>